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b/>
          <w:sz w:val="32"/>
        </w:rPr>
      </w:pPr>
      <w:r>
        <w:rPr>
          <w:b/>
          <w:sz w:val="32"/>
        </w:rPr>
      </w:r>
    </w:p>
    <w:p>
      <w:pPr>
        <w:pStyle w:val="Normal"/>
        <w:jc w:val="center"/>
        <w:rPr>
          <w:rFonts w:ascii="Times New Roman" w:hAnsi="Times New Roman"/>
          <w:b/>
          <w:sz w:val="32"/>
        </w:rPr>
      </w:pPr>
      <w:r>
        <w:rPr>
          <w:b/>
          <w:sz w:val="32"/>
        </w:rPr>
      </w:r>
    </w:p>
    <w:p>
      <w:pPr>
        <w:pStyle w:val="Normal"/>
        <w:jc w:val="center"/>
        <w:rPr>
          <w:rFonts w:ascii="Times New Roman" w:hAnsi="Times New Roman"/>
          <w:b/>
          <w:sz w:val="32"/>
        </w:rPr>
      </w:pPr>
      <w:r>
        <w:rPr>
          <w:b/>
          <w:sz w:val="32"/>
        </w:rPr>
      </w:r>
    </w:p>
    <w:p>
      <w:pPr>
        <w:pStyle w:val="Normal"/>
        <w:jc w:val="center"/>
        <w:rPr>
          <w:rFonts w:ascii="Times New Roman" w:hAnsi="Times New Roman"/>
          <w:b/>
          <w:sz w:val="32"/>
        </w:rPr>
      </w:pPr>
      <w:r>
        <w:rPr>
          <w:b/>
          <w:sz w:val="32"/>
        </w:rPr>
      </w:r>
    </w:p>
    <w:p>
      <w:pPr>
        <w:pStyle w:val="Normal"/>
        <w:jc w:val="center"/>
        <w:rPr>
          <w:rFonts w:ascii="Times New Roman" w:hAnsi="Times New Roman"/>
          <w:b/>
          <w:sz w:val="32"/>
        </w:rPr>
      </w:pPr>
      <w:r>
        <w:rPr>
          <w:b/>
          <w:sz w:val="32"/>
        </w:rPr>
      </w:r>
    </w:p>
    <w:p>
      <w:pPr>
        <w:pStyle w:val="Normal"/>
        <w:jc w:val="center"/>
        <w:rPr>
          <w:rFonts w:ascii="Times New Roman" w:hAnsi="Times New Roman"/>
          <w:b/>
          <w:sz w:val="32"/>
        </w:rPr>
      </w:pPr>
      <w:r>
        <w:rPr>
          <w:b/>
          <w:sz w:val="32"/>
        </w:rPr>
        <w:t>Invisible in the Network: Gender and Access Inequalities in European Animation</w:t>
      </w:r>
    </w:p>
    <w:p>
      <w:pPr>
        <w:pStyle w:val="Normal"/>
        <w:jc w:val="both"/>
        <w:rPr>
          <w:rFonts w:ascii="Times New Roman" w:hAnsi="Times New Roman"/>
          <w:i/>
          <w:sz w:val="22"/>
        </w:rPr>
      </w:pPr>
      <w:r>
        <w:rPr>
          <w:i/>
          <w:sz w:val="22"/>
        </w:rPr>
      </w:r>
    </w:p>
    <w:p>
      <w:pPr>
        <w:pStyle w:val="Normal"/>
        <w:jc w:val="center"/>
        <w:rPr>
          <w:rFonts w:ascii="Times New Roman" w:hAnsi="Times New Roman"/>
          <w:b/>
          <w:i/>
          <w:sz w:val="24"/>
        </w:rPr>
      </w:pPr>
      <w:r>
        <w:rPr>
          <w:b/>
          <w:i/>
          <w:sz w:val="24"/>
        </w:rPr>
      </w:r>
    </w:p>
    <w:p>
      <w:pPr>
        <w:pStyle w:val="Normal"/>
        <w:jc w:val="center"/>
        <w:rPr>
          <w:rFonts w:ascii="Times New Roman" w:hAnsi="Times New Roman"/>
          <w:b/>
          <w:i/>
          <w:sz w:val="24"/>
        </w:rPr>
      </w:pPr>
      <w:r>
        <w:rPr>
          <w:b/>
          <w:i/>
          <w:sz w:val="24"/>
        </w:rPr>
      </w:r>
    </w:p>
    <w:p>
      <w:pPr>
        <w:pStyle w:val="Normal"/>
        <w:jc w:val="center"/>
        <w:rPr>
          <w:rFonts w:ascii="Times New Roman" w:hAnsi="Times New Roman"/>
          <w:b/>
          <w:i/>
          <w:sz w:val="24"/>
        </w:rPr>
      </w:pPr>
      <w:r>
        <w:rPr>
          <w:b/>
          <w:i/>
          <w:sz w:val="24"/>
        </w:rPr>
      </w:r>
    </w:p>
    <w:p>
      <w:pPr>
        <w:pStyle w:val="Normal"/>
        <w:jc w:val="center"/>
        <w:rPr>
          <w:rFonts w:ascii="Times New Roman" w:hAnsi="Times New Roman"/>
          <w:b/>
          <w:i/>
          <w:sz w:val="24"/>
        </w:rPr>
      </w:pPr>
      <w:r>
        <w:rPr>
          <w:b/>
          <w:i/>
          <w:sz w:val="24"/>
        </w:rPr>
        <w:t>Eleftheria Chatzidimitriou</w:t>
      </w:r>
    </w:p>
    <w:p>
      <w:pPr>
        <w:pStyle w:val="Normal"/>
        <w:jc w:val="center"/>
        <w:rPr>
          <w:rFonts w:ascii="Times New Roman" w:hAnsi="Times New Roman"/>
        </w:rPr>
      </w:pPr>
      <w:r>
        <w:rPr>
          <w:b/>
          <w:i/>
          <w:sz w:val="24"/>
        </w:rPr>
        <w:t>PhD Candidate, University of the Aegean</w:t>
      </w:r>
    </w:p>
    <w:p>
      <w:pPr>
        <w:pStyle w:val="Normal"/>
        <w:jc w:val="center"/>
        <w:rPr>
          <w:rFonts w:ascii="Times New Roman" w:hAnsi="Times New Roman"/>
        </w:rPr>
      </w:pPr>
      <w:r>
        <w:rPr>
          <w:b/>
          <w:i/>
          <w:sz w:val="24"/>
          <w:lang w:val="en-GB"/>
        </w:rPr>
        <w:t>echatzi</w:t>
      </w:r>
      <w:r>
        <w:rPr>
          <w:b/>
          <w:i/>
          <w:sz w:val="24"/>
          <w:lang w:val="el-GR"/>
        </w:rPr>
        <w:t>@</w:t>
      </w:r>
      <w:r>
        <w:rPr>
          <w:b/>
          <w:i/>
          <w:sz w:val="24"/>
          <w:lang w:val="en-GB"/>
        </w:rPr>
        <w:t>aegean.gr</w:t>
      </w:r>
    </w:p>
    <w:p>
      <w:pPr>
        <w:pStyle w:val="Normal"/>
        <w:jc w:val="center"/>
        <w:rPr>
          <w:rFonts w:ascii="Times New Roman" w:hAnsi="Times New Roman"/>
        </w:rPr>
      </w:pPr>
      <w:r>
        <w:rPr>
          <w:b/>
          <w:i/>
          <w:sz w:val="24"/>
        </w:rPr>
        <w:t>Dr. Panagiotis Kyriakoulakos, Assist. Professor</w:t>
      </w:r>
    </w:p>
    <w:p>
      <w:pPr>
        <w:pStyle w:val="Normal"/>
        <w:jc w:val="center"/>
        <w:rPr>
          <w:rFonts w:ascii="Times New Roman" w:hAnsi="Times New Roman"/>
        </w:rPr>
      </w:pPr>
      <w:r>
        <w:rPr>
          <w:b/>
          <w:i/>
          <w:sz w:val="24"/>
        </w:rPr>
        <w:t>University of the Aegean</w:t>
      </w:r>
    </w:p>
    <w:p>
      <w:pPr>
        <w:pStyle w:val="Normal"/>
        <w:jc w:val="both"/>
        <w:rPr>
          <w:rFonts w:ascii="Times New Roman" w:hAnsi="Times New Roman"/>
          <w:i/>
          <w:sz w:val="22"/>
        </w:rPr>
      </w:pPr>
      <w:r>
        <w:rPr>
          <w:b/>
          <w:i/>
          <w:sz w:val="24"/>
          <w:lang w:val="en-GB"/>
        </w:rPr>
        <w:tab/>
        <w:tab/>
        <w:tab/>
        <w:tab/>
        <w:tab/>
      </w:r>
      <w:hyperlink r:id="rId2">
        <w:r>
          <w:rPr>
            <w:rStyle w:val="Hyperlink"/>
            <w:b/>
            <w:i/>
            <w:sz w:val="24"/>
            <w:lang w:val="en-GB"/>
          </w:rPr>
          <w:t>pank</w:t>
        </w:r>
        <w:r>
          <w:rPr>
            <w:rStyle w:val="Hyperlink"/>
            <w:b/>
            <w:i/>
            <w:sz w:val="24"/>
          </w:rPr>
          <w:t>@</w:t>
        </w:r>
        <w:r>
          <w:rPr>
            <w:rStyle w:val="Hyperlink"/>
            <w:b/>
            <w:i/>
            <w:sz w:val="24"/>
            <w:lang w:val="en-GB"/>
          </w:rPr>
          <w:t>aegean.gr</w:t>
        </w:r>
      </w:hyperlink>
    </w:p>
    <w:p>
      <w:pPr>
        <w:pStyle w:val="Normal"/>
        <w:jc w:val="both"/>
        <w:rPr>
          <w:rFonts w:ascii="Times New Roman" w:hAnsi="Times New Roman"/>
          <w:i/>
          <w:sz w:val="22"/>
        </w:rPr>
      </w:pPr>
      <w:r>
        <w:rPr>
          <w:i/>
          <w:sz w:val="22"/>
        </w:rPr>
      </w:r>
    </w:p>
    <w:p>
      <w:pPr>
        <w:pStyle w:val="Normal"/>
        <w:jc w:val="both"/>
        <w:rPr>
          <w:rFonts w:ascii="Times New Roman" w:hAnsi="Times New Roman"/>
        </w:rPr>
      </w:pPr>
      <w:r>
        <w:rPr/>
      </w:r>
    </w:p>
    <w:p>
      <w:pPr>
        <w:pStyle w:val="Heading1"/>
        <w:jc w:val="both"/>
        <w:rPr>
          <w:rFonts w:ascii="Times New Roman" w:hAnsi="Times New Roman"/>
        </w:rPr>
      </w:pPr>
      <w:r>
        <w:rPr>
          <w:rFonts w:ascii="Times New Roman" w:hAnsi="Times New Roman"/>
        </w:rPr>
      </w:r>
      <w:r>
        <w:br w:type="page"/>
      </w:r>
    </w:p>
    <w:p>
      <w:pPr>
        <w:pStyle w:val="Heading1"/>
        <w:spacing w:before="0" w:after="0"/>
        <w:jc w:val="both"/>
        <w:rPr>
          <w:rFonts w:ascii="Times New Roman" w:hAnsi="Times New Roman"/>
        </w:rPr>
      </w:pPr>
      <w:r>
        <w:rPr>
          <w:rFonts w:ascii="Times New Roman" w:hAnsi="Times New Roman"/>
        </w:rPr>
        <w:t>Abstract</w:t>
      </w:r>
    </w:p>
    <w:p>
      <w:pPr>
        <w:pStyle w:val="BodyText"/>
        <w:jc w:val="both"/>
        <w:rPr>
          <w:rFonts w:ascii="Times New Roman" w:hAnsi="Times New Roman"/>
        </w:rPr>
      </w:pPr>
      <w:r>
        <w:rPr>
          <w:sz w:val="24"/>
          <w:szCs w:val="24"/>
        </w:rPr>
        <w:t>This paper investigates structural inequalities in the European animation industry through a sociological lens, focusing on how gender and access disparities are produced and reproduced within co-production networks and cultural production ecosystems. Drawing on Pierre Bourdieu’s theory of fields, capital, and power relations, the study conceptualises the animation sector as a competitive social space in which actors struggle for access to resources, recognition, and legitimacy.</w:t>
      </w:r>
    </w:p>
    <w:p>
      <w:pPr>
        <w:pStyle w:val="BodyText"/>
        <w:jc w:val="both"/>
        <w:rPr>
          <w:rFonts w:ascii="Times New Roman" w:hAnsi="Times New Roman"/>
          <w:sz w:val="24"/>
          <w:szCs w:val="24"/>
        </w:rPr>
      </w:pPr>
      <w:r>
        <w:rPr>
          <w:sz w:val="24"/>
          <w:szCs w:val="24"/>
        </w:rPr>
        <w:t>Within this framework, co-production practices—widely promoted as mechanisms of collaboration, cultural exchange, and risk-sharing—are examined as structured networks that both enable and constrain participation. While central to the sustainability and transnational circulation of European animation, co-productions tend to rely on pre-existing professional relationships, accumulated symbolic capital, and institutional trust. As a result, access is unevenly distributed, privileging established actors while marginalising newcomers and underrepresented groups, particularly women and early-career creators.</w:t>
      </w:r>
    </w:p>
    <w:p>
      <w:pPr>
        <w:pStyle w:val="BodyText"/>
        <w:jc w:val="both"/>
        <w:rPr>
          <w:rFonts w:ascii="Times New Roman" w:hAnsi="Times New Roman"/>
          <w:sz w:val="24"/>
          <w:szCs w:val="24"/>
        </w:rPr>
      </w:pPr>
      <w:r>
        <w:rPr>
          <w:sz w:val="24"/>
          <w:szCs w:val="24"/>
        </w:rPr>
        <w:t>The paper explores how different forms of capital—economic (access to funding), social (professional networks), and symbolic (recognition through festivals and awards)—interact to shape opportunities within the animation field. Gendered dynamics emerge not only in access to financing and partnerships but also in the ability to accumulate visibility and legitimacy across the production and distribution chain. These inequalities are reinforced by informal gatekeeping practices and embedded norms that influence decision-making processes within co-production environments.</w:t>
      </w:r>
    </w:p>
    <w:p>
      <w:pPr>
        <w:pStyle w:val="BodyText"/>
        <w:jc w:val="both"/>
        <w:rPr>
          <w:rFonts w:ascii="Times New Roman" w:hAnsi="Times New Roman"/>
          <w:sz w:val="24"/>
          <w:szCs w:val="24"/>
        </w:rPr>
      </w:pPr>
      <w:r>
        <w:rPr>
          <w:sz w:val="24"/>
          <w:szCs w:val="24"/>
        </w:rPr>
        <w:t>The study further considers how inequalities in production extend into distribution and discoverability. As animated content circulates through festivals, broadcasters, and platform-based ecosystems, visibility becomes a key form of symbolic capital. However, access to these channels is not neutral. Selection mechanisms, algorithmic curation, and market-driven logics often favour already visible or institutionally supported creators, reproducing patterns of exclusion. In this context, “invisibility” is not merely a lack of exposure but a structurally produced condition rooted in unequal access to networks of circulation.</w:t>
      </w:r>
    </w:p>
    <w:p>
      <w:pPr>
        <w:pStyle w:val="BodyText"/>
        <w:jc w:val="both"/>
        <w:rPr>
          <w:rFonts w:ascii="Times New Roman" w:hAnsi="Times New Roman"/>
          <w:sz w:val="24"/>
          <w:szCs w:val="24"/>
        </w:rPr>
      </w:pPr>
      <w:r>
        <w:rPr>
          <w:sz w:val="24"/>
          <w:szCs w:val="24"/>
        </w:rPr>
        <w:t>Methodologically, the paper adopts a qualitative and theoretically informed approach, combining critical analysis of literature on cultural and creative industries with observations drawn from European animation practices and policy frameworks. It also engages with debates on diversity and inclusion in the audiovisual sector, highlighting the gap between formal policy commitments and industry realities.</w:t>
      </w:r>
    </w:p>
    <w:p>
      <w:pPr>
        <w:pStyle w:val="BodyText"/>
        <w:jc w:val="both"/>
        <w:rPr>
          <w:rFonts w:ascii="Times New Roman" w:hAnsi="Times New Roman"/>
          <w:sz w:val="24"/>
          <w:szCs w:val="24"/>
        </w:rPr>
      </w:pPr>
      <w:r>
        <w:rPr>
          <w:sz w:val="24"/>
          <w:szCs w:val="24"/>
        </w:rPr>
        <w:t>By situating European animation within a framework of social stratification and power, this paper contributes to understanding how inequalities are embedded in structures intended to support collaboration. It argues that addressing gender and access disparities requires not only policy intervention but also a rethinking of the relational dynamics underpinning co-production networks.</w:t>
      </w:r>
    </w:p>
    <w:p>
      <w:pPr>
        <w:pStyle w:val="BodyText"/>
        <w:jc w:val="both"/>
        <w:rPr>
          <w:rFonts w:ascii="Times New Roman" w:hAnsi="Times New Roman"/>
          <w:b/>
          <w:bCs/>
          <w:sz w:val="24"/>
          <w:szCs w:val="24"/>
        </w:rPr>
      </w:pPr>
      <w:r>
        <w:rPr>
          <w:b/>
          <w:bCs/>
          <w:sz w:val="24"/>
          <w:szCs w:val="24"/>
        </w:rPr>
        <w:t>Keywords</w:t>
      </w:r>
    </w:p>
    <w:p>
      <w:pPr>
        <w:pStyle w:val="Normal"/>
        <w:jc w:val="both"/>
        <w:rPr>
          <w:rFonts w:ascii="Times New Roman" w:hAnsi="Times New Roman"/>
          <w:sz w:val="24"/>
          <w:szCs w:val="24"/>
        </w:rPr>
      </w:pPr>
      <w:r>
        <w:rPr>
          <w:sz w:val="24"/>
          <w:szCs w:val="24"/>
        </w:rPr>
        <w:t>Gender inequality; Social stratification; Cultural production networks; Symbolic capital; Power relations; European animation</w:t>
      </w:r>
    </w:p>
    <w:p>
      <w:pPr>
        <w:pStyle w:val="Heading1"/>
        <w:jc w:val="both"/>
        <w:rPr>
          <w:rFonts w:ascii="Times New Roman" w:hAnsi="Times New Roman"/>
        </w:rPr>
      </w:pPr>
      <w:r>
        <w:rPr>
          <w:rFonts w:ascii="Times New Roman" w:hAnsi="Times New Roman"/>
        </w:rPr>
        <w:t>1. Introduction: The Problem of Access</w:t>
      </w:r>
    </w:p>
    <w:p>
      <w:pPr>
        <w:pStyle w:val="Normal"/>
        <w:jc w:val="both"/>
        <w:rPr>
          <w:rFonts w:ascii="Times New Roman" w:hAnsi="Times New Roman"/>
          <w:sz w:val="24"/>
          <w:szCs w:val="24"/>
        </w:rPr>
      </w:pPr>
      <w:r>
        <w:rPr>
          <w:sz w:val="24"/>
          <w:szCs w:val="24"/>
        </w:rPr>
        <w:t>European animation occupies a distinctive position within Europe’s cultural and creative industries. It is simultaneously an artistic practice, an economic activity and a transnational system of cultural production. Co-production is central to this system because animation frequently requires substantial financial resources, specialized expertise and access to several national and international markets. Projects therefore move through networks connecting producers, financiers, broadcasters, distributors, festivals, pitching markets and other professional intermediaries.</w:t>
      </w:r>
    </w:p>
    <w:p>
      <w:pPr>
        <w:pStyle w:val="Normal"/>
        <w:jc w:val="both"/>
        <w:rPr>
          <w:sz w:val="24"/>
          <w:szCs w:val="24"/>
        </w:rPr>
      </w:pPr>
      <w:r>
        <w:rPr>
          <w:sz w:val="24"/>
          <w:szCs w:val="24"/>
        </w:rPr>
        <w:t xml:space="preserve">These networks create opportunities, but they also organize access to them. Gender inequality in European audiovisual production demonstrates the persistence of structural differences. The European Audiovisual Observatory reports that women accounted for approximately 27% of directors, 31% of screenwriters and 34% of producers in European feature film production between 2020 and 2024 </w:t>
      </w:r>
      <w:r>
        <w:rPr>
          <w:sz w:val="24"/>
          <w:szCs w:val="24"/>
          <w:lang w:val="el-GR"/>
        </w:rPr>
        <w:t>[</w:t>
      </w:r>
      <w:r>
        <w:rPr>
          <w:sz w:val="24"/>
          <w:szCs w:val="24"/>
        </w:rPr>
        <w:t>1</w:t>
      </w:r>
      <w:r>
        <w:rPr>
          <w:sz w:val="24"/>
          <w:szCs w:val="24"/>
          <w:lang w:val="el-GR"/>
        </w:rPr>
        <w:t>]</w:t>
      </w:r>
      <w:r>
        <w:rPr>
          <w:sz w:val="24"/>
          <w:szCs w:val="24"/>
        </w:rPr>
        <w:t>. In animation, the imbalance can be particularly pronounced. Cartoon Movie reported that women occupied 22% of directing positions among animated feature projects presented in 2024, while women were the main producers in 33% of projects [2]. These figures point to an important tension: increasing access to the field does not necessarily guarantee equal continuity within it.</w:t>
      </w:r>
    </w:p>
    <w:p>
      <w:pPr>
        <w:pStyle w:val="Normal"/>
        <w:jc w:val="both"/>
        <w:rPr>
          <w:rFonts w:ascii="Times New Roman" w:hAnsi="Times New Roman"/>
          <w:sz w:val="24"/>
          <w:szCs w:val="24"/>
        </w:rPr>
      </w:pPr>
      <w:r>
        <w:rPr>
          <w:sz w:val="24"/>
          <w:szCs w:val="24"/>
        </w:rPr>
        <w:t>This article argues that gender inequality in European animation should therefore be understood not only through representation, funding or entry, but through the networked organization of access to cultural and economic power. Drawing on Bourdieu’s theory of field and capital, it proposes the concept of networked access: the capacity to establish, maintain and mobilize professional relationships through which resources, recognition and future opportunities become available. The concept highlights a crucial distinction between formal access and effective access. Participation in the same professional event or funding program does not necessarily give actors equivalent capacities to convert participation into durable relationships and opportunities.</w:t>
      </w:r>
    </w:p>
    <w:p>
      <w:pPr>
        <w:pStyle w:val="Normal"/>
        <w:jc w:val="both"/>
        <w:rPr>
          <w:rFonts w:ascii="Times New Roman" w:hAnsi="Times New Roman"/>
          <w:sz w:val="24"/>
          <w:szCs w:val="24"/>
        </w:rPr>
      </w:pPr>
      <w:r>
        <w:rPr>
          <w:sz w:val="24"/>
          <w:szCs w:val="24"/>
        </w:rPr>
        <w:t>The article asks: How do gendered and unequal forms of networked access shape participation, recognition and visibility within European animation co-production ecosystems? It develops a qualitative, theoretically informed analysis combining scholarship on cultural production and gender with European policy and industry documents, gender-equality data and selected illustrative cases from contemporary European animation. The cases are used analytically rather than as evidence that particular individuals experienced or avoided discrimination.</w:t>
      </w:r>
    </w:p>
    <w:p>
      <w:pPr>
        <w:pStyle w:val="Normal"/>
        <w:jc w:val="both"/>
        <w:rPr>
          <w:rFonts w:ascii="Times New Roman" w:hAnsi="Times New Roman"/>
          <w:sz w:val="24"/>
          <w:szCs w:val="24"/>
        </w:rPr>
      </w:pPr>
      <w:r>
        <w:rPr>
          <w:sz w:val="24"/>
          <w:szCs w:val="24"/>
        </w:rPr>
        <w:t>The analysis moves from production to circulation, examining co-production infrastructures, gatekeeping and capital accumulation, followed by festivals, distribution and discoverability. It concludes that invisibility is not simply an absence of exposure. It can be a structurally produced condition resulting from unequal access to the networks through which careers, collaborations, legitimacy and visibility are built.</w:t>
      </w:r>
    </w:p>
    <w:p>
      <w:pPr>
        <w:pStyle w:val="Heading1"/>
        <w:jc w:val="both"/>
        <w:rPr>
          <w:rFonts w:ascii="Times New Roman" w:hAnsi="Times New Roman"/>
        </w:rPr>
      </w:pPr>
      <w:r>
        <w:rPr>
          <w:rFonts w:ascii="Times New Roman" w:hAnsi="Times New Roman"/>
        </w:rPr>
        <w:t>2. Field, Capital and Networked Access</w:t>
      </w:r>
    </w:p>
    <w:p>
      <w:pPr>
        <w:pStyle w:val="Normal"/>
        <w:jc w:val="both"/>
        <w:rPr>
          <w:rFonts w:ascii="Times New Roman" w:hAnsi="Times New Roman"/>
          <w:sz w:val="24"/>
          <w:szCs w:val="24"/>
        </w:rPr>
      </w:pPr>
      <w:r>
        <w:rPr>
          <w:sz w:val="24"/>
          <w:szCs w:val="24"/>
        </w:rPr>
        <w:t>Bourdieu’s concept of the field provides a useful starting point for understanding European animation as a structured social space rather than a collection of individual creative careers. A cultural field consists of actors and institutions occupying unequal positions and competing over resources, legitimacy and recognition [3]. Participation is therefore shaped not only by individual ability but by the distribution of different forms of capital.</w:t>
      </w:r>
    </w:p>
    <w:p>
      <w:pPr>
        <w:pStyle w:val="Normal"/>
        <w:jc w:val="both"/>
        <w:rPr>
          <w:rFonts w:ascii="Times New Roman" w:hAnsi="Times New Roman"/>
          <w:sz w:val="24"/>
          <w:szCs w:val="24"/>
        </w:rPr>
      </w:pPr>
      <w:r>
        <w:rPr>
          <w:sz w:val="24"/>
          <w:szCs w:val="24"/>
        </w:rPr>
        <w:t>Bourdieu distinguishes economic, social, cultural and symbolic capital [4]. Economic capital includes financial resources; social capital concerns durable relationships and access to networks; cultural capital encompasses knowledge, competencies and credentials; and symbolic capital refers to recognised legitimacy and prestige. These forms of capital are interconnected. Economic resources may enable production, social relationships may facilitate collaboration, and recognition may subsequently increase access to further resources.</w:t>
      </w:r>
    </w:p>
    <w:p>
      <w:pPr>
        <w:pStyle w:val="Normal"/>
        <w:jc w:val="both"/>
        <w:rPr>
          <w:rFonts w:ascii="Times New Roman" w:hAnsi="Times New Roman"/>
          <w:sz w:val="24"/>
          <w:szCs w:val="24"/>
        </w:rPr>
      </w:pPr>
      <w:r>
        <w:rPr>
          <w:sz w:val="24"/>
          <w:szCs w:val="24"/>
        </w:rPr>
        <w:t>This interaction is particularly important in animation. A project may require finance, but successful production also depends on trusted partners, specialized knowledge and international professional connections. Recognition acquired through a festival or professional market can increase credibility and facilitate subsequent collaborations. Capital is consequently not static: it can be accumulated and converted.</w:t>
      </w:r>
    </w:p>
    <w:p>
      <w:pPr>
        <w:pStyle w:val="Normal"/>
        <w:jc w:val="both"/>
        <w:rPr>
          <w:rFonts w:ascii="Times New Roman" w:hAnsi="Times New Roman"/>
          <w:sz w:val="24"/>
          <w:szCs w:val="24"/>
        </w:rPr>
      </w:pPr>
      <w:r>
        <w:rPr>
          <w:sz w:val="24"/>
          <w:szCs w:val="24"/>
        </w:rPr>
        <w:t xml:space="preserve">Gender matters because cultural fields are not socially neutral. Research on gender, field and symbolic capital demonstrates that the recognition and conversion of cultural resources can be shaped by gendered expectations and dispositions [5], </w:t>
      </w:r>
      <w:r>
        <w:rPr>
          <w:sz w:val="24"/>
          <w:szCs w:val="24"/>
        </w:rPr>
        <w:t>[6]</w:t>
      </w:r>
      <w:r>
        <w:rPr>
          <w:sz w:val="24"/>
          <w:szCs w:val="24"/>
        </w:rPr>
        <w:t>. The question is therefore not simply whether women possess sufficient skills or creative capital, but whether the field provides equivalent opportunities for their resources to be recognized and converted into durable professional advantages.</w:t>
      </w:r>
    </w:p>
    <w:p>
      <w:pPr>
        <w:pStyle w:val="Normal"/>
        <w:jc w:val="both"/>
        <w:rPr>
          <w:rFonts w:ascii="Times New Roman" w:hAnsi="Times New Roman"/>
          <w:sz w:val="24"/>
          <w:szCs w:val="24"/>
        </w:rPr>
      </w:pPr>
      <w:r>
        <w:rPr>
          <w:sz w:val="24"/>
          <w:szCs w:val="24"/>
        </w:rPr>
        <w:t>The concept of networked access developed here brings these ideas together. Networked access refers to the capacity to establish, maintain and mobilize professional relationships through which resources, recognition and future opportunities become accessible. It is broader than simply having contacts. A network becomes valuable when relationships are durable, trusted and connected to resources or opportunities.</w:t>
      </w:r>
    </w:p>
    <w:p>
      <w:pPr>
        <w:pStyle w:val="Normal"/>
        <w:jc w:val="both"/>
        <w:rPr>
          <w:rFonts w:ascii="Times New Roman" w:hAnsi="Times New Roman"/>
          <w:sz w:val="24"/>
          <w:szCs w:val="24"/>
        </w:rPr>
      </w:pPr>
      <w:r>
        <w:rPr>
          <w:sz w:val="24"/>
          <w:szCs w:val="24"/>
        </w:rPr>
        <w:t>This produces another important distinction: access to a network is not equivalent to position within a network. Two actors may attend the same event, but one may already have long-standing relationships with producers, distributors and financiers, while another may be entering those networks for the first time. Their formal participation is equal; their effective capacity to convert participation into future opportunities may not be.</w:t>
      </w:r>
    </w:p>
    <w:p>
      <w:pPr>
        <w:pStyle w:val="Normal"/>
        <w:jc w:val="both"/>
        <w:rPr>
          <w:rFonts w:ascii="Times New Roman" w:hAnsi="Times New Roman"/>
          <w:sz w:val="24"/>
          <w:szCs w:val="24"/>
        </w:rPr>
      </w:pPr>
      <w:r>
        <w:rPr>
          <w:sz w:val="24"/>
          <w:szCs w:val="24"/>
        </w:rPr>
        <w:t>Networked access is therefore cumulative. Previous success can strengthen relationships, recognition and credibility, which can facilitate further opportunities:</w:t>
      </w:r>
    </w:p>
    <w:p>
      <w:pPr>
        <w:pStyle w:val="Normal"/>
        <w:jc w:val="center"/>
        <w:rPr>
          <w:rFonts w:ascii="Times New Roman" w:hAnsi="Times New Roman"/>
          <w:b w:val="false"/>
          <w:bCs w:val="false"/>
          <w:i/>
          <w:iCs/>
          <w:sz w:val="24"/>
          <w:szCs w:val="24"/>
        </w:rPr>
      </w:pPr>
      <w:r>
        <w:rPr>
          <w:b w:val="false"/>
          <w:bCs w:val="false"/>
          <w:i/>
          <w:iCs/>
          <w:sz w:val="24"/>
          <w:szCs w:val="24"/>
        </w:rPr>
        <w:t>previous success → stronger networks → greater access → further production → increased recognition → stronger networks.</w:t>
      </w:r>
    </w:p>
    <w:p>
      <w:pPr>
        <w:pStyle w:val="Normal"/>
        <w:jc w:val="both"/>
        <w:rPr>
          <w:rFonts w:ascii="Times New Roman" w:hAnsi="Times New Roman"/>
          <w:sz w:val="24"/>
          <w:szCs w:val="24"/>
        </w:rPr>
      </w:pPr>
      <w:r>
        <w:rPr>
          <w:sz w:val="24"/>
          <w:szCs w:val="24"/>
        </w:rPr>
        <w:t>This does not mean that networks mechanically determine outcomes or that all established positions are illegitimate. Rather, network position forms part of the structural conditions within which individual choices and achievements acquire value.</w:t>
      </w:r>
    </w:p>
    <w:p>
      <w:pPr>
        <w:pStyle w:val="Normal"/>
        <w:jc w:val="both"/>
        <w:rPr>
          <w:rFonts w:ascii="Times New Roman" w:hAnsi="Times New Roman"/>
          <w:sz w:val="24"/>
          <w:szCs w:val="24"/>
        </w:rPr>
      </w:pPr>
      <w:r>
        <w:rPr>
          <w:sz w:val="24"/>
          <w:szCs w:val="24"/>
        </w:rPr>
      </w:r>
    </w:p>
    <w:p>
      <w:pPr>
        <w:pStyle w:val="Heading1"/>
        <w:jc w:val="both"/>
        <w:rPr>
          <w:sz w:val="28"/>
          <w:szCs w:val="28"/>
        </w:rPr>
      </w:pPr>
      <w:r>
        <w:rPr>
          <w:rFonts w:ascii="Times New Roman" w:hAnsi="Times New Roman"/>
          <w:sz w:val="28"/>
          <w:szCs w:val="28"/>
        </w:rPr>
        <w:t>3. European Animation as a Networked Cultural Field</w:t>
      </w:r>
    </w:p>
    <w:p>
      <w:pPr>
        <w:pStyle w:val="Normal"/>
        <w:jc w:val="both"/>
        <w:rPr>
          <w:rFonts w:ascii="Times New Roman" w:hAnsi="Times New Roman"/>
          <w:sz w:val="24"/>
          <w:szCs w:val="24"/>
        </w:rPr>
      </w:pPr>
      <w:r>
        <w:rPr>
          <w:sz w:val="24"/>
          <w:szCs w:val="24"/>
        </w:rPr>
        <w:t>European animation is organized through transnational infrastructures that connect actors across national markets. The fragmented nature of European audiovisual production, combined with the costs and specialized requirements of animation, makes collaboration across borders particularly important.</w:t>
      </w:r>
    </w:p>
    <w:p>
      <w:pPr>
        <w:pStyle w:val="Normal"/>
        <w:jc w:val="both"/>
        <w:rPr>
          <w:rFonts w:ascii="Times New Roman" w:hAnsi="Times New Roman"/>
          <w:sz w:val="24"/>
          <w:szCs w:val="24"/>
        </w:rPr>
      </w:pPr>
      <w:r>
        <w:rPr>
          <w:sz w:val="24"/>
          <w:szCs w:val="24"/>
        </w:rPr>
        <w:t>Institutions such as MIFA Annecy, Cartoon Forum, Cartoon Movie and CEE Animation provide spaces where projects are presented, evaluated, financed and connected to potential partners.</w:t>
      </w:r>
    </w:p>
    <w:p>
      <w:pPr>
        <w:pStyle w:val="Normal"/>
        <w:jc w:val="both"/>
        <w:rPr>
          <w:rFonts w:ascii="Times New Roman" w:hAnsi="Times New Roman"/>
          <w:sz w:val="24"/>
          <w:szCs w:val="24"/>
        </w:rPr>
      </w:pPr>
      <w:r>
        <w:rPr>
          <w:sz w:val="24"/>
          <w:szCs w:val="24"/>
        </w:rPr>
        <w:t>These infrastructures matter not simply because they facilitate contact, but because they help organize where and how contact takes place. MIFA brings creators, producers, buyers and investors together, while pitching activities provide selected projects with international professional exposure. Cartoon Forum operates as a co-production platform for animated series, and Cartoon Movie performs a similar function for feature animation. CEE Animation combines pitching, financing and one-to-one professional meetings, contributing to the development of regional and international relationships.</w:t>
      </w:r>
    </w:p>
    <w:p>
      <w:pPr>
        <w:pStyle w:val="Normal"/>
        <w:jc w:val="both"/>
        <w:rPr>
          <w:rFonts w:ascii="Times New Roman" w:hAnsi="Times New Roman"/>
          <w:sz w:val="24"/>
          <w:szCs w:val="24"/>
        </w:rPr>
      </w:pPr>
      <w:r>
        <w:rPr>
          <w:sz w:val="24"/>
          <w:szCs w:val="24"/>
        </w:rPr>
        <w:t>Such infrastructures can broaden access, but their openness does not automatically produce equal network positions. The value of participation depends partly on an actor’s capacity to activate relationships. Social capital is not simply the number of people one knows; it concerns the durability, relevance and value of those relationships. Grugulis and Stoyanova [7], in their analysis of European animation, similarly emphasize the importance of professional networks and community formation in the organization of the sector.</w:t>
      </w:r>
    </w:p>
    <w:p>
      <w:pPr>
        <w:pStyle w:val="Normal"/>
        <w:jc w:val="both"/>
        <w:rPr>
          <w:rFonts w:ascii="Times New Roman" w:hAnsi="Times New Roman"/>
          <w:sz w:val="24"/>
          <w:szCs w:val="24"/>
        </w:rPr>
      </w:pPr>
      <w:r>
        <w:rPr>
          <w:sz w:val="24"/>
          <w:szCs w:val="24"/>
        </w:rPr>
        <w:t>This creates what can be described as a paradox of collaborative openness. Systems designed to encourage international cooperation may simultaneously reproduce inequalities because actors enter them with different stocks of social, economic and symbolic capital. Participation can therefore generate cumulative advantage for those already well positioned, while newcomers may find that formal inclusion does not immediately translate into durable professional connections.</w:t>
      </w:r>
    </w:p>
    <w:p>
      <w:pPr>
        <w:pStyle w:val="Normal"/>
        <w:jc w:val="both"/>
        <w:rPr>
          <w:rFonts w:ascii="Times New Roman" w:hAnsi="Times New Roman"/>
        </w:rPr>
      </w:pPr>
      <w:r>
        <w:rPr>
          <w:sz w:val="24"/>
          <w:szCs w:val="24"/>
        </w:rPr>
        <w:t>Gender equality must consequently be assessed at the level of network position and trajectory, not only participation. The relevant questions are whether women can establish lasting collaborations, whether those collaborations provide access to resources, and whether recognition gained in one professional environment can be converted into subsequent opportunities. The networked organization of European animation makes co-production a particularly important site for examining these processes.</w:t>
      </w:r>
    </w:p>
    <w:p>
      <w:pPr>
        <w:pStyle w:val="Heading1"/>
        <w:jc w:val="both"/>
        <w:rPr>
          <w:rFonts w:ascii="Times New Roman" w:hAnsi="Times New Roman"/>
        </w:rPr>
      </w:pPr>
      <w:r>
        <w:rPr>
          <w:rFonts w:ascii="Times New Roman" w:hAnsi="Times New Roman"/>
        </w:rPr>
        <w:t>4. Co-production, Gatekeeping and the Accumulation of Capital</w:t>
      </w:r>
    </w:p>
    <w:p>
      <w:pPr>
        <w:pStyle w:val="Normal"/>
        <w:jc w:val="both"/>
        <w:rPr>
          <w:rFonts w:ascii="Times New Roman" w:hAnsi="Times New Roman"/>
          <w:sz w:val="24"/>
          <w:szCs w:val="24"/>
        </w:rPr>
      </w:pPr>
      <w:r>
        <w:rPr>
          <w:sz w:val="24"/>
          <w:szCs w:val="24"/>
        </w:rPr>
        <w:t>Co-production is often presented as a financial and organisational solution to the challenges of European animation. It allows projects to combine resources, expertise and markets across countries. Yet co-production is also a social process. Producers and other partners must decide with whom they are willing to collaborate, often under conditions of uncertainty. Trust, reputation and previous experience therefore matter.</w:t>
      </w:r>
    </w:p>
    <w:p>
      <w:pPr>
        <w:pStyle w:val="Normal"/>
        <w:jc w:val="both"/>
        <w:rPr>
          <w:rFonts w:ascii="Times New Roman" w:hAnsi="Times New Roman"/>
          <w:sz w:val="24"/>
          <w:szCs w:val="24"/>
        </w:rPr>
      </w:pPr>
      <w:r>
        <w:rPr>
          <w:sz w:val="24"/>
          <w:szCs w:val="24"/>
        </w:rPr>
        <w:t xml:space="preserve">Eurimages data for 2014–2018 illustrate the structural dimension of gender inequality in animation: 83.7% of animation projects were categorized as male according to the composition of principal production functions, compared with 14.0% balanced and only 2.3% female </w:t>
      </w:r>
      <w:r>
        <w:rPr>
          <w:sz w:val="24"/>
          <w:szCs w:val="24"/>
          <w:lang w:val="el-GR"/>
        </w:rPr>
        <w:t>[8]</w:t>
      </w:r>
      <w:r>
        <w:rPr>
          <w:sz w:val="24"/>
          <w:szCs w:val="24"/>
        </w:rPr>
        <w:t>. These figures do not establish the mechanisms producing the imbalance, but they demonstrate why access to production networks deserves closer attention.</w:t>
      </w:r>
    </w:p>
    <w:p>
      <w:pPr>
        <w:pStyle w:val="Normal"/>
        <w:jc w:val="both"/>
        <w:rPr>
          <w:rFonts w:ascii="Times New Roman" w:hAnsi="Times New Roman"/>
          <w:sz w:val="24"/>
          <w:szCs w:val="24"/>
        </w:rPr>
      </w:pPr>
      <w:r>
        <w:rPr>
          <w:sz w:val="24"/>
          <w:szCs w:val="24"/>
        </w:rPr>
        <w:t>Formal funding criteria may be transparent, yet viable co-production frequently involves informal processes of identification, recommendation and trust. Previous credits can reduce uncertainty for potential partners and make an actor more recognizable within professional networks. This can produce cumulative advantage: previous production creates relationships; relationships facilitate co-production; new production generates recognition; recognition strengthens network position; and stronger network position facilitates further co-production.</w:t>
      </w:r>
    </w:p>
    <w:p>
      <w:pPr>
        <w:pStyle w:val="Normal"/>
        <w:jc w:val="both"/>
        <w:rPr>
          <w:rFonts w:ascii="Times New Roman" w:hAnsi="Times New Roman"/>
          <w:sz w:val="24"/>
          <w:szCs w:val="24"/>
        </w:rPr>
      </w:pPr>
      <w:r>
        <w:rPr>
          <w:sz w:val="24"/>
          <w:szCs w:val="24"/>
        </w:rPr>
        <w:t>Gatekeeping therefore need not take the form of explicit exclusion. It can operate through ordinary decisions concerning project viability, credibility, partner selection and recommendations. A relational approach is useful because it asks how these decisions interact over time rather than locating inequality in a single discriminatory act.</w:t>
      </w:r>
    </w:p>
    <w:p>
      <w:pPr>
        <w:pStyle w:val="Normal"/>
        <w:jc w:val="both"/>
        <w:rPr>
          <w:rFonts w:ascii="Times New Roman" w:hAnsi="Times New Roman"/>
          <w:sz w:val="24"/>
          <w:szCs w:val="24"/>
        </w:rPr>
      </w:pPr>
      <w:r>
        <w:rPr>
          <w:sz w:val="24"/>
          <w:szCs w:val="24"/>
        </w:rPr>
        <w:t>Gender can become relevant to this process because access to professional opportunities affects the accumulation and conversion of capital. Limited production opportunities may mean fewer credits, fewer international relationships, less festival exposure and reduced symbolic capital. The resulting lack of recognition can then make subsequent access more difficult. This does not imply that gender alone determines professional outcomes; creative quality, institutional support, finance and many other factors remain important. The argument is that gendered structures may influence the conditions under which capital is accumulated and converted.</w:t>
      </w:r>
    </w:p>
    <w:p>
      <w:pPr>
        <w:pStyle w:val="Normal"/>
        <w:jc w:val="both"/>
        <w:rPr>
          <w:rFonts w:ascii="Times New Roman" w:hAnsi="Times New Roman"/>
          <w:sz w:val="24"/>
          <w:szCs w:val="24"/>
        </w:rPr>
      </w:pPr>
      <w:r>
        <w:rPr>
          <w:sz w:val="24"/>
          <w:szCs w:val="24"/>
        </w:rPr>
        <w:t>The case of Isabel Herguera’s Sultana’s Dream provides an illustrative example of successful activation across several network layers. The Spain–Germany co-production involved Sultana Films, El Gatoverde, Abano, UniKo and Fabian&amp;Fred, with international sales by Square Eyes and Spanish distribution by Filmin. The film was presented at San Sebastián in 2023 and selected for the Contrechamp competition at Annecy in 2024. The case illustrates how production, sales, distribution and festival recognition can operate as interconnected layers of a professional network. It should not be read as evidence that Herguera either experienced or avoided gender barriers. Its analytical value lies in showing how different forms of capital can be connected across the production and circulation process.</w:t>
      </w:r>
    </w:p>
    <w:p>
      <w:pPr>
        <w:pStyle w:val="Normal"/>
        <w:jc w:val="both"/>
        <w:rPr>
          <w:rFonts w:ascii="Times New Roman" w:hAnsi="Times New Roman"/>
          <w:sz w:val="24"/>
          <w:szCs w:val="24"/>
        </w:rPr>
      </w:pPr>
      <w:r>
        <w:rPr>
          <w:sz w:val="24"/>
          <w:szCs w:val="24"/>
        </w:rPr>
        <w:t>The career trajectory associated with Michaela Pavlátová’s “My Sunny Maad” provides a second illustrative case. The project was connected to the Prague-based production company Negativ and circulated through CEE Animation Forum, MIFA Annecy and the Venice Gap-Financing Market. Again, the case does not demonstrate a gendered causal mechanism. Rather, it illustrates how established professional relationships can provide continuity across development, financing and international presentation.</w:t>
      </w:r>
    </w:p>
    <w:p>
      <w:pPr>
        <w:pStyle w:val="Normal"/>
        <w:jc w:val="both"/>
        <w:rPr>
          <w:rFonts w:ascii="Times New Roman" w:hAnsi="Times New Roman"/>
          <w:sz w:val="24"/>
          <w:szCs w:val="24"/>
        </w:rPr>
      </w:pPr>
      <w:r>
        <w:rPr>
          <w:sz w:val="24"/>
          <w:szCs w:val="24"/>
        </w:rPr>
        <w:t>These examples reinforce the distinction between formal access and effective access. The central issue is not whether professional infrastructures are open in principle, but whether participants can transform encounters into durable relationships and those relationships into economic and symbolic resources. This is why gender equality cannot be fully understood through entry statistics alone. It must also address the accumulation of capital and the capacity to sustain a position within the field.</w:t>
      </w:r>
    </w:p>
    <w:p>
      <w:pPr>
        <w:pStyle w:val="Heading1"/>
        <w:jc w:val="both"/>
        <w:rPr>
          <w:rFonts w:ascii="Times New Roman" w:hAnsi="Times New Roman"/>
        </w:rPr>
      </w:pPr>
      <w:r>
        <w:rPr>
          <w:rFonts w:ascii="Times New Roman" w:hAnsi="Times New Roman"/>
        </w:rPr>
        <w:t>5. Visibility, Festivals and Discoverability</w:t>
      </w:r>
    </w:p>
    <w:p>
      <w:pPr>
        <w:pStyle w:val="Normal"/>
        <w:jc w:val="both"/>
        <w:rPr>
          <w:rFonts w:ascii="Times New Roman" w:hAnsi="Times New Roman"/>
          <w:sz w:val="24"/>
          <w:szCs w:val="24"/>
        </w:rPr>
      </w:pPr>
      <w:r>
        <w:rPr>
          <w:sz w:val="24"/>
          <w:szCs w:val="24"/>
        </w:rPr>
        <w:t>Visibility is often treated as the natural outcome of successful cultural production. In animation, however, visibility is organised through professional and institutional processes that determine which projects circulate, which creators receive recognition and which works become discoverable. Festivals, pitching markets, sales agents, distributors and digital platforms therefore operate not only as channels of circulation but as sites where symbolic capital is produced and recognised.</w:t>
      </w:r>
    </w:p>
    <w:p>
      <w:pPr>
        <w:pStyle w:val="Normal"/>
        <w:jc w:val="both"/>
        <w:rPr>
          <w:rFonts w:ascii="Times New Roman" w:hAnsi="Times New Roman"/>
          <w:sz w:val="24"/>
          <w:szCs w:val="24"/>
        </w:rPr>
      </w:pPr>
      <w:r>
        <w:rPr>
          <w:sz w:val="24"/>
          <w:szCs w:val="24"/>
        </w:rPr>
        <w:t>A festival selection, award or international premiere can function as symbolic capital when it increases the perceived legitimacy of a project or creator. Recognition may subsequently facilitate new collaborations, financing or distribution. The process is therefore potentially circular:</w:t>
      </w:r>
    </w:p>
    <w:p>
      <w:pPr>
        <w:pStyle w:val="Normal"/>
        <w:jc w:val="center"/>
        <w:rPr>
          <w:rFonts w:ascii="Times New Roman" w:hAnsi="Times New Roman"/>
          <w:i/>
          <w:iCs/>
          <w:sz w:val="24"/>
          <w:szCs w:val="24"/>
        </w:rPr>
      </w:pPr>
      <w:r>
        <w:rPr>
          <w:i/>
          <w:iCs/>
          <w:sz w:val="24"/>
          <w:szCs w:val="24"/>
        </w:rPr>
        <w:t>network position → opportunity → visibility → symbolic capital → further network access.</w:t>
      </w:r>
    </w:p>
    <w:p>
      <w:pPr>
        <w:pStyle w:val="Normal"/>
        <w:jc w:val="both"/>
        <w:rPr>
          <w:rFonts w:ascii="Times New Roman" w:hAnsi="Times New Roman"/>
          <w:sz w:val="24"/>
          <w:szCs w:val="24"/>
        </w:rPr>
      </w:pPr>
      <w:r>
        <w:rPr>
          <w:sz w:val="24"/>
          <w:szCs w:val="24"/>
        </w:rPr>
        <w:t xml:space="preserve">Research by Ehrich et al. </w:t>
      </w:r>
      <w:r>
        <w:rPr>
          <w:sz w:val="24"/>
          <w:szCs w:val="24"/>
          <w:lang w:val="el-GR"/>
        </w:rPr>
        <w:t>[9]</w:t>
      </w:r>
      <w:r>
        <w:rPr>
          <w:sz w:val="24"/>
          <w:szCs w:val="24"/>
        </w:rPr>
        <w:t>, based on a large network analysis of films and festivals, demonstrates that festival circulation itself contains gendered network structures. Their findings show differences in the density and circulation patterns of networks associated with women-only and men-only teams. The significance for animation is not that all film-festival systems operate identically, but that circulation should be analyzed as a networked structure rather than as a neutral consequence of production.</w:t>
      </w:r>
    </w:p>
    <w:p>
      <w:pPr>
        <w:pStyle w:val="Normal"/>
        <w:jc w:val="both"/>
        <w:rPr>
          <w:rFonts w:ascii="Times New Roman" w:hAnsi="Times New Roman"/>
          <w:sz w:val="24"/>
          <w:szCs w:val="24"/>
        </w:rPr>
      </w:pPr>
      <w:r>
        <w:rPr>
          <w:sz w:val="24"/>
          <w:szCs w:val="24"/>
        </w:rPr>
        <w:t>The important question is consequently not only whether women are represented among festival selections, but what participation enables. Does a selection create relationships with distributors, sales agents or producers? Does recognition lead to subsequent projects? Does visibility become part of an accumulated trajectory or remain an isolated event?</w:t>
      </w:r>
    </w:p>
    <w:p>
      <w:pPr>
        <w:pStyle w:val="Normal"/>
        <w:jc w:val="both"/>
        <w:rPr>
          <w:rFonts w:ascii="Times New Roman" w:hAnsi="Times New Roman"/>
          <w:sz w:val="24"/>
          <w:szCs w:val="24"/>
        </w:rPr>
      </w:pPr>
      <w:r>
        <w:rPr>
          <w:sz w:val="24"/>
          <w:szCs w:val="24"/>
        </w:rPr>
        <w:t>Distribution adds another layer. A creator may receive festival recognition but still require a distributor with specialized market access and promotional capacity to reach wider audiences. The 2026 Cartoon Movie distribution workshop, which brought together six emerging female filmmakers with the new distributor/co-producer Luftkind Filmverleih around marketing and distribution, provides an illustrative example. It demonstrates the relational character of distribution access without proving that women are structurally excluded from distribution.</w:t>
      </w:r>
    </w:p>
    <w:p>
      <w:pPr>
        <w:pStyle w:val="Normal"/>
        <w:jc w:val="both"/>
        <w:rPr>
          <w:rFonts w:ascii="Times New Roman" w:hAnsi="Times New Roman"/>
          <w:sz w:val="24"/>
          <w:szCs w:val="24"/>
        </w:rPr>
      </w:pPr>
      <w:r>
        <w:rPr>
          <w:sz w:val="24"/>
          <w:szCs w:val="24"/>
        </w:rPr>
        <w:t>Digital platforms introduce additional complexity. Claims about algorithms must be made cautiously because recommendation and ranking systems are often proprietary and their underlying mechanisms are not directly observable. Researchers can observe proxies such as catalog placement, recommendations, rankings or promotional visibility, but these observations do not establish precisely how the underlying systems operate. A technologically deterministic claim that algorithms simply reproduce gender inequality would therefore be methodologically weak.</w:t>
      </w:r>
    </w:p>
    <w:p>
      <w:pPr>
        <w:pStyle w:val="Normal"/>
        <w:jc w:val="both"/>
        <w:rPr>
          <w:rFonts w:ascii="Times New Roman" w:hAnsi="Times New Roman"/>
          <w:sz w:val="24"/>
          <w:szCs w:val="24"/>
        </w:rPr>
      </w:pPr>
      <w:r>
        <w:rPr>
          <w:sz w:val="24"/>
          <w:szCs w:val="24"/>
        </w:rPr>
        <w:t>Visibility is thus not a single endpoint. It is a cumulative process in which recognition can generate network access, network access can generate opportunities, and opportunities can generate further recognition. The relevant question is therefore not simply who becomes visible, but whose visibility can be converted into durable professional power.</w:t>
      </w:r>
    </w:p>
    <w:p>
      <w:pPr>
        <w:pStyle w:val="Heading1"/>
        <w:jc w:val="both"/>
        <w:rPr>
          <w:rFonts w:ascii="Times New Roman" w:hAnsi="Times New Roman"/>
        </w:rPr>
      </w:pPr>
      <w:r>
        <w:rPr>
          <w:rFonts w:ascii="Times New Roman" w:hAnsi="Times New Roman"/>
        </w:rPr>
        <w:t>6. Policy, Governance and the Limits of Formal Inclusion</w:t>
      </w:r>
    </w:p>
    <w:p>
      <w:pPr>
        <w:pStyle w:val="Normal"/>
        <w:jc w:val="both"/>
        <w:rPr>
          <w:rFonts w:ascii="Times New Roman" w:hAnsi="Times New Roman"/>
          <w:sz w:val="24"/>
          <w:szCs w:val="24"/>
        </w:rPr>
      </w:pPr>
      <w:r>
        <w:rPr>
          <w:sz w:val="24"/>
          <w:szCs w:val="24"/>
        </w:rPr>
        <w:t>European cultural policy increasingly recognizes gender inequality as a structural issue. Funding schemes, gender strategies, mentoring initiatives and professional-development programs seek to improve women's participation in audiovisual production. These measures are important because they acknowledge that inequality cannot be reduced to individual choices or differences in talent.</w:t>
      </w:r>
    </w:p>
    <w:p>
      <w:pPr>
        <w:pStyle w:val="Normal"/>
        <w:jc w:val="both"/>
        <w:rPr>
          <w:rFonts w:ascii="Times New Roman" w:hAnsi="Times New Roman"/>
          <w:sz w:val="24"/>
          <w:szCs w:val="24"/>
        </w:rPr>
      </w:pPr>
      <w:r>
        <w:rPr>
          <w:sz w:val="24"/>
          <w:szCs w:val="24"/>
        </w:rPr>
        <w:t>Yet the networked perspective developed here suggests that formal inclusion does not necessarily produce equal professional trajectories. A funding opportunity may provide economic capital without automatically creating social or symbolic capital. A mentoring programme may provide knowledge and confidence without guaranteeing access to decision-makers. A festival initiative may increase visibility without ensuring distribution or subsequent production.</w:t>
      </w:r>
    </w:p>
    <w:p>
      <w:pPr>
        <w:pStyle w:val="Normal"/>
        <w:jc w:val="both"/>
        <w:rPr>
          <w:rFonts w:ascii="Times New Roman" w:hAnsi="Times New Roman"/>
          <w:sz w:val="24"/>
          <w:szCs w:val="24"/>
        </w:rPr>
      </w:pPr>
      <w:r>
        <w:rPr>
          <w:sz w:val="24"/>
          <w:szCs w:val="24"/>
        </w:rPr>
        <w:t>The distinction between formal and effective access is therefore central to policy evaluation. Formal access means being eligible to participate in a program, market or institution. Effective access means being able to transform participation into durable relationships, recognition and future opportunities.</w:t>
      </w:r>
    </w:p>
    <w:p>
      <w:pPr>
        <w:pStyle w:val="Normal"/>
        <w:jc w:val="both"/>
        <w:rPr>
          <w:rFonts w:ascii="Times New Roman" w:hAnsi="Times New Roman"/>
          <w:sz w:val="24"/>
          <w:szCs w:val="24"/>
        </w:rPr>
      </w:pPr>
      <w:r>
        <w:rPr>
          <w:sz w:val="24"/>
          <w:szCs w:val="24"/>
        </w:rPr>
        <w:t>Policy should consequently ask not only how many women enter a program but what happens afterwards. Do participants return to subsequent markets? Do they establish lasting collaborations? Do their projects receive repeated support? Does recognition lead to international distribution? Do participants move into decision-making positions?</w:t>
      </w:r>
    </w:p>
    <w:p>
      <w:pPr>
        <w:pStyle w:val="Normal"/>
        <w:jc w:val="both"/>
        <w:rPr>
          <w:rFonts w:ascii="Times New Roman" w:hAnsi="Times New Roman"/>
          <w:sz w:val="24"/>
          <w:szCs w:val="24"/>
        </w:rPr>
      </w:pPr>
      <w:r>
        <w:rPr>
          <w:sz w:val="24"/>
          <w:szCs w:val="24"/>
        </w:rPr>
        <w:t xml:space="preserve">This implies a shift from representation to continuity. Governance should also be understood as distributed across the cultural production chain: funding, production, pitching, networking, festivals, distribution and visibility. No single intervention can transform the entire structure. </w:t>
      </w:r>
    </w:p>
    <w:p>
      <w:pPr>
        <w:pStyle w:val="Normal"/>
        <w:jc w:val="both"/>
        <w:rPr>
          <w:rFonts w:ascii="Times New Roman" w:hAnsi="Times New Roman"/>
          <w:sz w:val="24"/>
          <w:szCs w:val="24"/>
        </w:rPr>
      </w:pPr>
      <w:r>
        <w:rPr>
          <w:sz w:val="24"/>
          <w:szCs w:val="24"/>
        </w:rPr>
        <w:t>The same principle applies to networking. Increasing the number of contacts is not necessarily equivalent to increasing social capital. Relationships become structurally meaningful when they are durable, trusted and connected to resources or opportunities. Policies should therefore prioritize repeated professional encounters and meaningful connections to producers, financiers, distributors and commissioning actors.</w:t>
      </w:r>
    </w:p>
    <w:p>
      <w:pPr>
        <w:pStyle w:val="Normal"/>
        <w:jc w:val="both"/>
        <w:rPr>
          <w:rFonts w:ascii="Times New Roman" w:hAnsi="Times New Roman"/>
          <w:sz w:val="24"/>
          <w:szCs w:val="24"/>
        </w:rPr>
      </w:pPr>
      <w:r>
        <w:rPr>
          <w:sz w:val="24"/>
          <w:szCs w:val="24"/>
        </w:rPr>
        <w:t>The goal is not to eliminate networks. Networks are fundamental to cultural production and can support collaboration and creativity. The challenge is to prevent dependence on accumulated networks from becoming a mechanism through which advantage is continually reproduced without meaningful opportunities for newcomers to develop equivalent forms of social and symbolic capital.</w:t>
      </w:r>
    </w:p>
    <w:p>
      <w:pPr>
        <w:pStyle w:val="Heading1"/>
        <w:jc w:val="both"/>
        <w:rPr>
          <w:rFonts w:ascii="Times New Roman" w:hAnsi="Times New Roman"/>
        </w:rPr>
      </w:pPr>
      <w:r>
        <w:rPr>
          <w:rFonts w:ascii="Times New Roman" w:hAnsi="Times New Roman"/>
        </w:rPr>
        <w:t>7. Discussion: From Representation to Networked Power</w:t>
      </w:r>
    </w:p>
    <w:p>
      <w:pPr>
        <w:pStyle w:val="Normal"/>
        <w:jc w:val="both"/>
        <w:rPr>
          <w:rFonts w:ascii="Times New Roman" w:hAnsi="Times New Roman"/>
          <w:sz w:val="24"/>
          <w:szCs w:val="24"/>
        </w:rPr>
      </w:pPr>
      <w:r>
        <w:rPr>
          <w:sz w:val="24"/>
          <w:szCs w:val="24"/>
        </w:rPr>
        <w:t>The analysis developed in this article suggests that gender inequality in European animation is best understood as a relational problem. Representation statistics remain essential because they identify visible inequalities, but they do not explain how those inequalities are reproduced across careers.</w:t>
      </w:r>
    </w:p>
    <w:p>
      <w:pPr>
        <w:pStyle w:val="Normal"/>
        <w:jc w:val="both"/>
        <w:rPr>
          <w:rFonts w:ascii="Times New Roman" w:hAnsi="Times New Roman"/>
          <w:sz w:val="24"/>
          <w:szCs w:val="24"/>
        </w:rPr>
      </w:pPr>
      <w:r>
        <w:rPr>
          <w:sz w:val="24"/>
          <w:szCs w:val="24"/>
        </w:rPr>
        <w:t>The concept of networked access provides a way to connect field, capital and infrastructure. European animation is a networked cultural field in which actors occupy unequal positions. Different forms of capital are accumulated unevenly, and their conversion is mediated through professional relationships. Gender can influence the conditions under which such capital becomes recognized and convertible into continuity, legitimacy and visibility.</w:t>
      </w:r>
    </w:p>
    <w:p>
      <w:pPr>
        <w:pStyle w:val="Normal"/>
        <w:jc w:val="both"/>
        <w:rPr>
          <w:rFonts w:ascii="Times New Roman" w:hAnsi="Times New Roman"/>
          <w:sz w:val="24"/>
          <w:szCs w:val="24"/>
        </w:rPr>
      </w:pPr>
      <w:r>
        <w:rPr>
          <w:sz w:val="24"/>
          <w:szCs w:val="24"/>
        </w:rPr>
        <w:t>The central mechanism can be represented as:</w:t>
      </w:r>
    </w:p>
    <w:p>
      <w:pPr>
        <w:pStyle w:val="Normal"/>
        <w:jc w:val="center"/>
        <w:rPr>
          <w:rFonts w:ascii="Times New Roman" w:hAnsi="Times New Roman"/>
          <w:i/>
          <w:iCs/>
          <w:sz w:val="24"/>
          <w:szCs w:val="24"/>
        </w:rPr>
      </w:pPr>
      <w:r>
        <w:rPr>
          <w:i/>
          <w:iCs/>
          <w:sz w:val="24"/>
          <w:szCs w:val="24"/>
        </w:rPr>
        <w:t>network position → access to capital → legitimacy → visibility → further access.</w:t>
      </w:r>
    </w:p>
    <w:p>
      <w:pPr>
        <w:pStyle w:val="Normal"/>
        <w:jc w:val="both"/>
        <w:rPr>
          <w:rFonts w:ascii="Times New Roman" w:hAnsi="Times New Roman"/>
          <w:sz w:val="24"/>
          <w:szCs w:val="24"/>
        </w:rPr>
      </w:pPr>
      <w:r>
        <w:rPr>
          <w:sz w:val="24"/>
          <w:szCs w:val="24"/>
        </w:rPr>
        <w:t>This mechanism helps explain why apparently open systems can still produce persistent inequalities. Formal openness can coexist with unequal capacity to activate professional relationships. A woman may be present at the same pitching forum or festival as a male colleague while having fewer established relationships through which participation can generate future opportunities. The difference may not be visible in participation statistics, but it can become visible over time through differences in career continuity, recognition and network position.</w:t>
      </w:r>
    </w:p>
    <w:p>
      <w:pPr>
        <w:pStyle w:val="Normal"/>
        <w:jc w:val="both"/>
        <w:rPr>
          <w:rFonts w:ascii="Times New Roman" w:hAnsi="Times New Roman"/>
          <w:sz w:val="24"/>
          <w:szCs w:val="24"/>
        </w:rPr>
      </w:pPr>
      <w:r>
        <w:rPr>
          <w:sz w:val="24"/>
          <w:szCs w:val="24"/>
        </w:rPr>
        <w:t>This argument also re-frames invisibility. Invisibility should not be understood simply as failure to reach an audience. It may emerge earlier, through unequal access to the networks that determine which projects are financed, presented, circulated, promoted and recognized. Visibility is therefore partly an outcome of accumulated relational resources.</w:t>
      </w:r>
    </w:p>
    <w:p>
      <w:pPr>
        <w:pStyle w:val="Normal"/>
        <w:jc w:val="both"/>
        <w:rPr>
          <w:rFonts w:ascii="Times New Roman" w:hAnsi="Times New Roman"/>
          <w:sz w:val="24"/>
          <w:szCs w:val="24"/>
        </w:rPr>
      </w:pPr>
      <w:r>
        <w:rPr>
          <w:sz w:val="24"/>
          <w:szCs w:val="24"/>
        </w:rPr>
        <w:t xml:space="preserve">The policy implication is equally important. Gender equality should not be evaluated only through the question of who enters the field. It should also ask who remains, who forms durable collaborations, whose projects receive repeated support, whose recognition is converted into new opportunities and who reaches decision-making positions. </w:t>
      </w:r>
    </w:p>
    <w:p>
      <w:pPr>
        <w:pStyle w:val="Heading1"/>
        <w:jc w:val="both"/>
        <w:rPr>
          <w:rFonts w:ascii="Times New Roman" w:hAnsi="Times New Roman"/>
        </w:rPr>
      </w:pPr>
      <w:r>
        <w:rPr>
          <w:rFonts w:ascii="Times New Roman" w:hAnsi="Times New Roman"/>
        </w:rPr>
      </w:r>
      <w:r>
        <w:br w:type="page"/>
      </w:r>
    </w:p>
    <w:p>
      <w:pPr>
        <w:pStyle w:val="Heading1"/>
        <w:spacing w:before="0" w:after="0"/>
        <w:jc w:val="both"/>
        <w:rPr>
          <w:rFonts w:ascii="Times New Roman" w:hAnsi="Times New Roman"/>
        </w:rPr>
      </w:pPr>
      <w:r>
        <w:rPr>
          <w:rFonts w:ascii="Times New Roman" w:hAnsi="Times New Roman"/>
        </w:rPr>
        <w:t>8. Conclusion</w:t>
      </w:r>
    </w:p>
    <w:p>
      <w:pPr>
        <w:pStyle w:val="Normal"/>
        <w:jc w:val="both"/>
        <w:rPr>
          <w:rFonts w:ascii="Times New Roman" w:hAnsi="Times New Roman"/>
          <w:sz w:val="24"/>
          <w:szCs w:val="24"/>
        </w:rPr>
      </w:pPr>
      <w:r>
        <w:rPr>
          <w:sz w:val="24"/>
          <w:szCs w:val="24"/>
        </w:rPr>
        <w:t>This article has argued that gender inequality in European animation should be understood not only as a problem of representation, participation or access to funding, but as a problem of networked access to cultural and economic power. European animation operates through a transnational field in which production, financing, pitching, festivals, distribution and recognition are interconnected. Within this field, opportunities are shaped by both formal institutional rules and the professional relationships through which capital is accumulated and converted.</w:t>
      </w:r>
    </w:p>
    <w:p>
      <w:pPr>
        <w:pStyle w:val="Normal"/>
        <w:jc w:val="both"/>
        <w:rPr>
          <w:rFonts w:ascii="Times New Roman" w:hAnsi="Times New Roman"/>
          <w:sz w:val="24"/>
          <w:szCs w:val="24"/>
        </w:rPr>
      </w:pPr>
      <w:r>
        <w:rPr>
          <w:sz w:val="24"/>
          <w:szCs w:val="24"/>
        </w:rPr>
        <w:t>The concept of networked access developed here refers to the capacity to establish, maintain and mobilize professional relationships through which resources, recognition and future opportunities become available. It highlights the distinction between formal access and effective access: being allowed to participate does not necessarily mean having an equivalent capacity to turn participation into durable opportunity.</w:t>
      </w:r>
    </w:p>
    <w:p>
      <w:pPr>
        <w:pStyle w:val="Normal"/>
        <w:jc w:val="both"/>
        <w:rPr>
          <w:rFonts w:ascii="Times New Roman" w:hAnsi="Times New Roman"/>
          <w:sz w:val="24"/>
          <w:szCs w:val="24"/>
        </w:rPr>
      </w:pPr>
      <w:r>
        <w:rPr>
          <w:sz w:val="24"/>
          <w:szCs w:val="24"/>
        </w:rPr>
        <w:t>The analysis of co-production, gatekeeping and circulation shows how cumulative advantage can develop. Previous production may strengthen networks; stronger networks may facilitate new production; recognition may increase symbolic capital; and symbolic capital may support further access. Gender inequality can persist within this process when women have less equal access to the relationships and institutional positions through which such accumulation occurs.</w:t>
      </w:r>
    </w:p>
    <w:p>
      <w:pPr>
        <w:pStyle w:val="Normal"/>
        <w:jc w:val="both"/>
        <w:rPr>
          <w:rFonts w:ascii="Times New Roman" w:hAnsi="Times New Roman"/>
          <w:sz w:val="24"/>
          <w:szCs w:val="24"/>
        </w:rPr>
      </w:pPr>
      <w:r>
        <w:rPr>
          <w:sz w:val="24"/>
          <w:szCs w:val="24"/>
        </w:rPr>
        <w:t>The argument does not imply that networks mechanically exclude women or that individual achievement is irrelevant. Rather, it identifies network position as an important structural condition of cultural production. Nor does it treat digital algorithms as an inevitable source of inequality. Because recommendation systems are often only partially observable, claims about their effects must remain cautious. Digital discoverability should instead be situated within the wider structures of recognition and circulation that precede and accompany platform visibility.</w:t>
      </w:r>
    </w:p>
    <w:p>
      <w:pPr>
        <w:pStyle w:val="Normal"/>
        <w:jc w:val="both"/>
        <w:rPr>
          <w:rFonts w:ascii="Times New Roman" w:hAnsi="Times New Roman"/>
          <w:sz w:val="24"/>
          <w:szCs w:val="24"/>
        </w:rPr>
      </w:pPr>
      <w:r>
        <w:rPr>
          <w:sz w:val="24"/>
          <w:szCs w:val="24"/>
        </w:rPr>
        <w:t>The policy implication is that formal inclusion, although necessary, is insufficient. Equality measures should consider continuity, network position and the conversion of recognition into subsequent opportunities. The key question is therefore not simply “Who is included?” but “Who is able to build a sustainable position within the field?”</w:t>
      </w:r>
    </w:p>
    <w:p>
      <w:pPr>
        <w:pStyle w:val="Normal"/>
        <w:jc w:val="both"/>
        <w:rPr>
          <w:rFonts w:ascii="Times New Roman" w:hAnsi="Times New Roman"/>
          <w:sz w:val="24"/>
          <w:szCs w:val="24"/>
        </w:rPr>
      </w:pPr>
      <w:r>
        <w:rPr>
          <w:sz w:val="24"/>
          <w:szCs w:val="24"/>
        </w:rPr>
        <w:t>The article’s central contribution is to reposition gender inequality in European animation as a question of relational cultural power. By connecting Bourdieu’s theory of field and capital to the practical infrastructures of contemporary animation, it shows how professional relationships mediate access to resources, recognition and visibility.</w:t>
      </w:r>
    </w:p>
    <w:p>
      <w:pPr>
        <w:pStyle w:val="Normal"/>
        <w:jc w:val="both"/>
        <w:rPr>
          <w:rFonts w:ascii="Times New Roman" w:hAnsi="Times New Roman"/>
          <w:sz w:val="24"/>
          <w:szCs w:val="24"/>
        </w:rPr>
      </w:pPr>
      <w:r>
        <w:rPr>
          <w:sz w:val="24"/>
          <w:szCs w:val="24"/>
        </w:rPr>
        <w:t>Ultimately, the issue is not whether European animation is becoming more open. The more important question is how openness is organised and who is able to convert it into lasting power. In European animation, invisibility is therefore not simply an absence of exposure. It can be a structurally produced condition resulting from unequal access to the networks through which careers, collaborations, legitimacy and visibility are built.</w:t>
      </w:r>
    </w:p>
    <w:p>
      <w:pPr>
        <w:pStyle w:val="Heading1"/>
        <w:jc w:val="both"/>
        <w:rPr>
          <w:rFonts w:ascii="Times New Roman" w:hAnsi="Times New Roman"/>
          <w:sz w:val="24"/>
          <w:szCs w:val="24"/>
        </w:rPr>
      </w:pPr>
      <w:r>
        <w:rPr>
          <w:rFonts w:ascii="Times New Roman" w:hAnsi="Times New Roman"/>
          <w:sz w:val="24"/>
          <w:szCs w:val="24"/>
        </w:rPr>
      </w:r>
      <w:r>
        <w:br w:type="page"/>
      </w:r>
    </w:p>
    <w:p>
      <w:pPr>
        <w:pStyle w:val="Normal"/>
        <w:spacing w:before="0" w:after="120"/>
        <w:jc w:val="both"/>
        <w:rPr>
          <w:rFonts w:ascii="Times New Roman" w:hAnsi="Times New Roman"/>
        </w:rPr>
      </w:pPr>
      <w:r>
        <w:rPr/>
      </w:r>
    </w:p>
    <w:p>
      <w:pPr>
        <w:pStyle w:val="BodyText"/>
        <w:jc w:val="both"/>
        <w:rPr>
          <w:rFonts w:ascii="Times New Roman" w:hAnsi="Times New Roman"/>
        </w:rPr>
      </w:pPr>
      <w:r>
        <w:rPr>
          <w:rStyle w:val="Strong"/>
          <w:sz w:val="28"/>
          <w:szCs w:val="28"/>
        </w:rPr>
        <w:t>References</w:t>
      </w:r>
    </w:p>
    <w:p>
      <w:pPr>
        <w:pStyle w:val="BodyText"/>
        <w:jc w:val="both"/>
        <w:rPr>
          <w:rStyle w:val="Strong"/>
          <w:rFonts w:ascii="Times New Roman" w:hAnsi="Times New Roman"/>
        </w:rPr>
      </w:pPr>
      <w:r>
        <w:rPr/>
      </w:r>
    </w:p>
    <w:p>
      <w:pPr>
        <w:pStyle w:val="BodyText"/>
        <w:jc w:val="both"/>
        <w:rPr>
          <w:rFonts w:ascii="Times New Roman" w:hAnsi="Times New Roman"/>
        </w:rPr>
      </w:pPr>
      <w:r>
        <w:rPr>
          <w:sz w:val="20"/>
          <w:szCs w:val="20"/>
        </w:rPr>
        <w:t xml:space="preserve">[1] A. Schneeberger, </w:t>
      </w:r>
      <w:r>
        <w:rPr>
          <w:rStyle w:val="Emphasis"/>
          <w:sz w:val="20"/>
          <w:szCs w:val="20"/>
        </w:rPr>
        <w:t>Female Professionals in European Film Production: 2015–2024 Figures</w:t>
      </w:r>
      <w:r>
        <w:rPr>
          <w:sz w:val="20"/>
          <w:szCs w:val="20"/>
        </w:rPr>
        <w:t>, European Audiovisual Observatory, Strasbourg, 2025.</w:t>
      </w:r>
    </w:p>
    <w:p>
      <w:pPr>
        <w:pStyle w:val="BodyText"/>
        <w:jc w:val="both"/>
        <w:rPr>
          <w:rFonts w:ascii="Times New Roman" w:hAnsi="Times New Roman"/>
        </w:rPr>
      </w:pPr>
      <w:r>
        <w:rPr>
          <w:sz w:val="20"/>
          <w:szCs w:val="20"/>
        </w:rPr>
        <w:t xml:space="preserve">[2] CARTOON, </w:t>
      </w:r>
      <w:r>
        <w:rPr>
          <w:rStyle w:val="Emphasis"/>
          <w:sz w:val="20"/>
          <w:szCs w:val="20"/>
        </w:rPr>
        <w:t>Cartoon Movie 2024: Statistics and Industry Data</w:t>
      </w:r>
      <w:r>
        <w:rPr>
          <w:sz w:val="20"/>
          <w:szCs w:val="20"/>
        </w:rPr>
        <w:t>, CARTOON Media, Brussels, 2024.</w:t>
      </w:r>
    </w:p>
    <w:p>
      <w:pPr>
        <w:pStyle w:val="BodyText"/>
        <w:jc w:val="both"/>
        <w:rPr>
          <w:rFonts w:ascii="Times New Roman" w:hAnsi="Times New Roman"/>
        </w:rPr>
      </w:pPr>
      <w:r>
        <w:rPr>
          <w:sz w:val="20"/>
          <w:szCs w:val="20"/>
        </w:rPr>
        <w:t xml:space="preserve">[3] P. Bourdieu, </w:t>
      </w:r>
      <w:r>
        <w:rPr>
          <w:rStyle w:val="Emphasis"/>
          <w:sz w:val="20"/>
          <w:szCs w:val="20"/>
        </w:rPr>
        <w:t>The Field of Cultural Production: Essays on Art and Literature</w:t>
      </w:r>
      <w:r>
        <w:rPr>
          <w:sz w:val="20"/>
          <w:szCs w:val="20"/>
        </w:rPr>
        <w:t>, Columbia University Press, New York, 1993.</w:t>
      </w:r>
    </w:p>
    <w:p>
      <w:pPr>
        <w:pStyle w:val="BodyText"/>
        <w:jc w:val="both"/>
        <w:rPr>
          <w:rFonts w:ascii="Times New Roman" w:hAnsi="Times New Roman"/>
        </w:rPr>
      </w:pPr>
      <w:r>
        <w:rPr>
          <w:sz w:val="20"/>
          <w:szCs w:val="20"/>
        </w:rPr>
        <w:t xml:space="preserve">[4] P. Bourdieu, “The Forms of Capital,” in J. G. Richardson, Ed., </w:t>
      </w:r>
      <w:r>
        <w:rPr>
          <w:rStyle w:val="Emphasis"/>
          <w:sz w:val="20"/>
          <w:szCs w:val="20"/>
        </w:rPr>
        <w:t>Handbook of Theory and Research for the Sociology of Education</w:t>
      </w:r>
      <w:r>
        <w:rPr>
          <w:sz w:val="20"/>
          <w:szCs w:val="20"/>
        </w:rPr>
        <w:t>, Greenwood Press, New York, 1986, pp. 241–258.</w:t>
      </w:r>
    </w:p>
    <w:p>
      <w:pPr>
        <w:pStyle w:val="BodyText"/>
        <w:jc w:val="both"/>
        <w:rPr>
          <w:rFonts w:ascii="Times New Roman" w:hAnsi="Times New Roman"/>
        </w:rPr>
      </w:pPr>
      <w:r>
        <w:rPr>
          <w:sz w:val="20"/>
          <w:szCs w:val="20"/>
        </w:rPr>
        <w:t xml:space="preserve">[5] D. L. Miller, “Symbolic Capital and Gender: Evidence from Two Cultural Fields,” </w:t>
      </w:r>
      <w:r>
        <w:rPr>
          <w:rStyle w:val="Emphasis"/>
          <w:sz w:val="20"/>
          <w:szCs w:val="20"/>
        </w:rPr>
        <w:t>Cultural Sociology</w:t>
      </w:r>
      <w:r>
        <w:rPr>
          <w:sz w:val="20"/>
          <w:szCs w:val="20"/>
        </w:rPr>
        <w:t>, vol. 8, no. 4, pp. 462–482, 2014, doi: 10.1177/1749975514539800.</w:t>
      </w:r>
    </w:p>
    <w:p>
      <w:pPr>
        <w:pStyle w:val="BodyText"/>
        <w:jc w:val="both"/>
        <w:rPr>
          <w:rFonts w:ascii="Times New Roman" w:hAnsi="Times New Roman"/>
        </w:rPr>
      </w:pPr>
      <w:r>
        <w:rPr>
          <w:sz w:val="20"/>
          <w:szCs w:val="20"/>
        </w:rPr>
        <w:t xml:space="preserve">[6] D. L. Miller, “Gender, Field, and Habitus: How Gendered Dispositions Reproduce Fields of Cultural Production,” </w:t>
      </w:r>
      <w:r>
        <w:rPr>
          <w:rStyle w:val="Emphasis"/>
          <w:sz w:val="20"/>
          <w:szCs w:val="20"/>
        </w:rPr>
        <w:t>Sociological Forum</w:t>
      </w:r>
      <w:r>
        <w:rPr>
          <w:sz w:val="20"/>
          <w:szCs w:val="20"/>
        </w:rPr>
        <w:t>, vol. 31, no. 2, pp. 330–353, 2016, doi: 10.1111/socf.12247.</w:t>
      </w:r>
    </w:p>
    <w:p>
      <w:pPr>
        <w:pStyle w:val="BodyText"/>
        <w:jc w:val="both"/>
        <w:rPr>
          <w:rFonts w:ascii="Times New Roman" w:hAnsi="Times New Roman"/>
        </w:rPr>
      </w:pPr>
      <w:r>
        <w:rPr>
          <w:sz w:val="20"/>
          <w:szCs w:val="20"/>
        </w:rPr>
        <w:t xml:space="preserve">[7] I. Grugulis and D. Stoyanova, “Social Capital and Networks in Film and TV: Jobs for the Boys?,” </w:t>
      </w:r>
      <w:r>
        <w:rPr>
          <w:rStyle w:val="Emphasis"/>
          <w:sz w:val="20"/>
          <w:szCs w:val="20"/>
        </w:rPr>
        <w:t>Organization Studies</w:t>
      </w:r>
      <w:r>
        <w:rPr>
          <w:sz w:val="20"/>
          <w:szCs w:val="20"/>
        </w:rPr>
        <w:t>, vol. 33, no. 10, pp. 1311–1331, 2012.</w:t>
      </w:r>
    </w:p>
    <w:p>
      <w:pPr>
        <w:pStyle w:val="BodyText"/>
        <w:jc w:val="both"/>
        <w:rPr>
          <w:rFonts w:ascii="Times New Roman" w:hAnsi="Times New Roman"/>
        </w:rPr>
      </w:pPr>
      <w:r>
        <w:rPr>
          <w:sz w:val="20"/>
          <w:szCs w:val="20"/>
        </w:rPr>
        <w:t xml:space="preserve">[8] EURIMAGES, </w:t>
      </w:r>
      <w:r>
        <w:rPr>
          <w:rStyle w:val="Emphasis"/>
          <w:sz w:val="20"/>
          <w:szCs w:val="20"/>
        </w:rPr>
        <w:t>Gender Equality in the European Film Industry: Data and Strategy</w:t>
      </w:r>
      <w:r>
        <w:rPr>
          <w:sz w:val="20"/>
          <w:szCs w:val="20"/>
        </w:rPr>
        <w:t>, Council of Europe, Strasbourg, 2018.</w:t>
      </w:r>
    </w:p>
    <w:p>
      <w:pPr>
        <w:pStyle w:val="BodyText"/>
        <w:jc w:val="both"/>
        <w:rPr>
          <w:rFonts w:ascii="Times New Roman" w:hAnsi="Times New Roman"/>
        </w:rPr>
      </w:pPr>
      <w:r>
        <w:rPr>
          <w:sz w:val="20"/>
          <w:szCs w:val="20"/>
        </w:rPr>
        <w:t xml:space="preserve">[9] M. E. Ehrich, K. Burgdorf, Z. Samoilova, and S. Loist, “The film festival sector and its networked structures of gender inequality,” </w:t>
      </w:r>
      <w:r>
        <w:rPr>
          <w:rStyle w:val="Emphasis"/>
          <w:sz w:val="20"/>
          <w:szCs w:val="20"/>
        </w:rPr>
        <w:t>Applied Network Science</w:t>
      </w:r>
      <w:r>
        <w:rPr>
          <w:sz w:val="20"/>
          <w:szCs w:val="20"/>
        </w:rPr>
        <w:t>, vol. 7, art. no. 20, 2022, doi: 10.1007/s41109-022-00457-z.</w:t>
      </w:r>
    </w:p>
    <w:p>
      <w:pPr>
        <w:pStyle w:val="Normal"/>
        <w:spacing w:before="0" w:after="120"/>
        <w:jc w:val="both"/>
        <w:rPr>
          <w:rFonts w:ascii="Times New Roman" w:hAnsi="Times New Roman"/>
        </w:rPr>
      </w:pPr>
      <w:r>
        <w:rPr/>
      </w:r>
    </w:p>
    <w:sectPr>
      <w:headerReference w:type="even" r:id="rId3"/>
      <w:headerReference w:type="default" r:id="rId4"/>
      <w:headerReference w:type="first" r:id="rId5"/>
      <w:type w:val="nextPage"/>
      <w:pgSz w:w="12240" w:h="15840"/>
      <w:pgMar w:left="1440" w:right="1440" w:gutter="0" w:header="430" w:top="1220" w:footer="0" w:bottom="16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1" w:characterSet="windows-1253"/>
    <w:family w:val="roman"/>
    <w:pitch w:val="variable"/>
  </w:font>
  <w:font w:name="Cambria">
    <w:charset w:val="a1" w:characterSet="windows-1253"/>
    <w:family w:val="roman"/>
    <w:pitch w:val="variable"/>
  </w:font>
  <w:font w:name="Times New Roman">
    <w:charset w:val="a1" w:characterSet="windows-1253"/>
    <w:family w:val="roman"/>
    <w:pitch w:val="variable"/>
  </w:font>
  <w:font w:name="Calibri">
    <w:charset w:val="a1" w:characterSet="windows-1253"/>
    <w:family w:val="roman"/>
    <w:pitch w:val="variable"/>
  </w:font>
  <w:font w:name="Courier">
    <w:altName w:val="Courier New"/>
    <w:charset w:val="a1" w:characterSet="windows-1253"/>
    <w:family w:val="roman"/>
    <w:pitch w:val="variable"/>
  </w:font>
  <w:font w:name="Liberation Sans">
    <w:altName w:val="Arial"/>
    <w:charset w:val="a1" w:characterSet="windows-1253"/>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mplateHeader"/>
      <w:rPr/>
    </w:pPr>
    <w:r>
      <w:rPr>
        <w:lang w:val="el-GR"/>
      </w:rPr>
      <w:t>ΑΒ</w:t>
    </w:r>
    <w:r>
      <w:rPr/>
      <w:t>/</w:t>
    </w:r>
    <w:r>
      <w:rPr>
        <w:lang w:val="el-GR"/>
      </w:rPr>
      <w:t>ΒΑ</w:t>
    </w:r>
    <w:r>
      <w:rPr/>
      <w:t xml:space="preserve"> 2026 International Conference on Animation in Business/Business in Animation</w:t>
    </w:r>
  </w:p>
  <w:p>
    <w:pPr>
      <w:pStyle w:val="TemplateHeader"/>
      <w:rPr>
        <w:iCs/>
      </w:rPr>
    </w:pPr>
    <w:r>
      <w:rPr>
        <w:iCs/>
      </w:rPr>
      <w:t>20-22 September 2026</w:t>
    </w:r>
  </w:p>
  <w:p>
    <w:pPr>
      <w:pStyle w:val="Header"/>
      <w:rPr>
        <w:i/>
        <w:sz w:val="20"/>
        <w:lang w:val="en-US"/>
      </w:rPr>
    </w:pPr>
    <w:r>
      <w:rPr>
        <w:i/>
        <w:sz w:val="20"/>
        <w:lang w:val="en-US"/>
      </w:rPr>
      <w:t>Syros, Greece</w:t>
    </w:r>
  </w:p>
  <w:p>
    <w:pPr>
      <w:pStyle w:val="Header"/>
      <w:rPr>
        <w:i/>
        <w:sz w:val="20"/>
        <w:lang w:val="en-US"/>
      </w:rPr>
    </w:pPr>
    <w:r>
      <w:rPr>
        <w:i/>
        <w:sz w:val="20"/>
        <w:lang w:val="en-US"/>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mplateHeader"/>
      <w:rPr/>
    </w:pPr>
    <w:r>
      <w:rPr>
        <w:lang w:val="el-GR"/>
      </w:rPr>
      <w:t>ΑΒ</w:t>
    </w:r>
    <w:r>
      <w:rPr/>
      <w:t>/</w:t>
    </w:r>
    <w:r>
      <w:rPr>
        <w:lang w:val="el-GR"/>
      </w:rPr>
      <w:t>ΒΑ</w:t>
    </w:r>
    <w:r>
      <w:rPr/>
      <w:t xml:space="preserve"> 2026 International Conference on Animation in Business/Business in Animation</w:t>
    </w:r>
  </w:p>
  <w:p>
    <w:pPr>
      <w:pStyle w:val="TemplateHeader"/>
      <w:rPr>
        <w:iCs/>
      </w:rPr>
    </w:pPr>
    <w:r>
      <w:rPr>
        <w:iCs/>
      </w:rPr>
      <w:t>20-22 September 2026</w:t>
    </w:r>
  </w:p>
  <w:p>
    <w:pPr>
      <w:pStyle w:val="Header"/>
      <w:rPr>
        <w:i/>
        <w:sz w:val="20"/>
        <w:lang w:val="en-US"/>
      </w:rPr>
    </w:pPr>
    <w:r>
      <w:rPr>
        <w:i/>
        <w:sz w:val="20"/>
        <w:lang w:val="en-US"/>
      </w:rPr>
      <w:t>Syros, Greece</w:t>
    </w:r>
  </w:p>
  <w:p>
    <w:pPr>
      <w:pStyle w:val="Header"/>
      <w:rPr>
        <w:i/>
        <w:sz w:val="20"/>
        <w:lang w:val="en-US"/>
      </w:rPr>
    </w:pPr>
    <w:r>
      <w:rPr>
        <w:i/>
        <w:sz w:val="20"/>
        <w:lang w:val="en-US"/>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120"/>
      <w:jc w:val="start"/>
    </w:pPr>
    <w:rPr>
      <w:rFonts w:ascii="Times New Roman" w:hAnsi="Times New Roman" w:eastAsia="" w:cs="" w:cstheme="minorBidi" w:eastAsiaTheme="minorEastAsia"/>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Style5">
    <w:name w:val="Επικεφαλίδα"/>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Style6">
    <w:name w:val="Ευρετήριο"/>
    <w:basedOn w:val="Normal"/>
    <w:qFormat/>
    <w:pPr>
      <w:suppressLineNumbers/>
    </w:pPr>
    <w:rPr>
      <w:rFonts w:cs="Lucida Sans"/>
    </w:rPr>
  </w:style>
  <w:style w:type="paragraph" w:styleId="user">
    <w:name w:val="Επικεφαλίδα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1">
    <w:name w:val="Ευρετήριο (user)"/>
    <w:basedOn w:val="Normal"/>
    <w:qFormat/>
    <w:pPr>
      <w:suppressLineNumbers/>
    </w:pPr>
    <w:rPr>
      <w:rFonts w:cs="Lucida Sans"/>
    </w:rPr>
  </w:style>
  <w:style w:type="paragraph" w:styleId="Style7">
    <w:name w:val="Κεφαλίδα και υποσέλιδο"/>
    <w:basedOn w:val="Normal"/>
    <w:qFormat/>
    <w:pPr/>
    <w:rPr/>
  </w:style>
  <w:style w:type="paragraph" w:styleId="user2">
    <w:name w:val="Κεφαλίδα και υποσέλιδο (us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start="720"/>
      <w:contextualSpacing/>
    </w:pPr>
    <w:rPr/>
  </w:style>
  <w:style w:type="paragraph" w:styleId="List3">
    <w:name w:val="List 3"/>
    <w:basedOn w:val="Normal"/>
    <w:uiPriority w:val="99"/>
    <w:unhideWhenUsed/>
    <w:qFormat/>
    <w:rsid w:val="00326f90"/>
    <w:pPr>
      <w:spacing w:before="0" w:after="120"/>
      <w:ind w:hanging="360" w:star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Style5"/>
    <w:pPr/>
    <w:rPr/>
  </w:style>
  <w:style w:type="paragraph" w:styleId="TOCHeading">
    <w:name w:val="TOC Heading"/>
    <w:basedOn w:val="Heading1"/>
    <w:next w:val="Normal"/>
    <w:uiPriority w:val="39"/>
    <w:semiHidden/>
    <w:unhideWhenUsed/>
    <w:qFormat/>
    <w:rsid w:val="00fc693f"/>
    <w:pPr>
      <w:outlineLvl w:val="9"/>
    </w:pPr>
    <w:rPr/>
  </w:style>
  <w:style w:type="paragraph" w:styleId="TemplateHeader">
    <w:name w:val="Template Header"/>
    <w:basedOn w:val="Header"/>
    <w:qFormat/>
    <w:pPr/>
    <w:rPr>
      <w:i/>
      <w:sz w:val="20"/>
      <w:lang w:val="en-US"/>
    </w:rPr>
  </w:style>
  <w:style w:type="numbering" w:styleId="Style8" w:default="1">
    <w:name w:val="Χωρίς κατάλογο"/>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ank@aegean.gr"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3689</TotalTime>
  <Application>LibreOffice/26.2.5.2$Windows_X86_64 LibreOffice_project/cd7284b4cbbfeb507e630c1aac019f4157393acb</Application>
  <AppVersion>15.0000</AppVersion>
  <Pages>11</Pages>
  <Words>3944</Words>
  <Characters>25702</Characters>
  <CharactersWithSpaces>29545</CharactersWithSpaces>
  <Paragraphs>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el-GR</dc:language>
  <cp:lastModifiedBy/>
  <dcterms:modified xsi:type="dcterms:W3CDTF">2026-09-06T15:40:43Z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