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pPr>
      <w:r>
        <w:rPr>
          <w:rFonts w:ascii="Times New Roman" w:hAnsi="Times New Roman"/>
          <w:b/>
          <w:i w:val="0"/>
          <w:sz w:val="32"/>
          <w:u w:val="none"/>
        </w:rPr>
        <w:t>Silent Ecological Animation and Algorithmic Discoverability: Non-Verbal Storytelling, Audience Attention and Cultural Access amid Generative AI and Platform Culture</w:t>
      </w:r>
    </w:p>
    <w:p>
      <w:pPr>
        <w:spacing w:before="0" w:after="60" w:line="240" w:lineRule="auto"/>
        <w:jc w:val="center"/>
      </w:pPr>
      <w:r>
        <w:rPr>
          <w:rFonts w:ascii="Times New Roman" w:hAnsi="Times New Roman"/>
          <w:b w:val="0"/>
          <w:i w:val="0"/>
          <w:sz w:val="24"/>
          <w:u w:val="single"/>
        </w:rPr>
        <w:t>Emre Altindag</w:t>
      </w:r>
    </w:p>
    <w:p>
      <w:pPr>
        <w:spacing w:before="0" w:after="160" w:line="240" w:lineRule="auto"/>
        <w:jc w:val="center"/>
      </w:pPr>
      <w:r>
        <w:rPr>
          <w:rFonts w:ascii="Times New Roman" w:hAnsi="Times New Roman"/>
          <w:b w:val="0"/>
          <w:i/>
          <w:sz w:val="24"/>
          <w:u w:val="none"/>
        </w:rPr>
        <w:t>PhD Researcher, Humanities and Communication, Universitat Oberta de Catalunya (UOC), Barcelona, Spain</w:t>
      </w:r>
    </w:p>
    <w:p>
      <w:pPr>
        <w:pStyle w:val="Heading1"/>
        <w:keepNext/>
        <w:spacing w:before="160" w:after="60" w:line="240" w:lineRule="auto"/>
      </w:pPr>
      <w:r>
        <w:rPr>
          <w:rFonts w:ascii="Times New Roman" w:hAnsi="Times New Roman"/>
          <w:b/>
          <w:i w:val="0"/>
          <w:sz w:val="28"/>
          <w:u w:val="none"/>
        </w:rPr>
        <w:t>Abstract</w:t>
      </w:r>
    </w:p>
    <w:p>
      <w:pPr>
        <w:spacing w:before="0" w:after="80" w:line="240" w:lineRule="auto"/>
        <w:jc w:val="both"/>
      </w:pPr>
      <w:r>
        <w:rPr>
          <w:rFonts w:ascii="Times New Roman" w:hAnsi="Times New Roman"/>
          <w:b w:val="0"/>
          <w:i w:val="0"/>
          <w:sz w:val="24"/>
          <w:u w:val="none"/>
        </w:rPr>
        <w:t xml:space="preserve">This paper examines silent ecological animation as a site for rethinking audience access under platform-based audiovisual distribution. It asks how dialogue-free works become visible within systems that organise cultural choice through metadata, recommendation, interface design and predicted engagement. Through close comparative readings of Gints Zilbalodis's </w:t>
      </w:r>
      <w:r>
        <w:rPr>
          <w:rFonts w:ascii="Times New Roman" w:hAnsi="Times New Roman"/>
          <w:b w:val="0"/>
          <w:i/>
          <w:sz w:val="24"/>
          <w:u w:val="none"/>
        </w:rPr>
        <w:t>Flow</w:t>
      </w:r>
      <w:r>
        <w:rPr>
          <w:rFonts w:ascii="Times New Roman" w:hAnsi="Times New Roman"/>
          <w:b w:val="0"/>
          <w:i w:val="0"/>
          <w:sz w:val="24"/>
          <w:u w:val="none"/>
        </w:rPr>
        <w:t xml:space="preserve"> (2024) and Michaël Dudok de Wit's </w:t>
      </w:r>
      <w:r>
        <w:rPr>
          <w:rFonts w:ascii="Times New Roman" w:hAnsi="Times New Roman"/>
          <w:b w:val="0"/>
          <w:i/>
          <w:sz w:val="24"/>
          <w:u w:val="none"/>
        </w:rPr>
        <w:t>The Red Turtle</w:t>
      </w:r>
      <w:r>
        <w:rPr>
          <w:rFonts w:ascii="Times New Roman" w:hAnsi="Times New Roman"/>
          <w:b w:val="0"/>
          <w:i w:val="0"/>
          <w:sz w:val="24"/>
          <w:u w:val="none"/>
        </w:rPr>
        <w:t xml:space="preserve"> (2016), combined with a practice-based reflection on adapting wordless graphic narrative into animated form, the paper argues that silence is neither an absence of meaning nor a guarantee of universality. It is an aesthetic distribution of interpretive responsibility across gesture, rhythm, sound, movement and environment. The two films make water, weather, animals and spatial change active narrative forces while limiting verbal instruction. Their international circulation demonstrates that non-verbal ambiguity can travel widely, but also shows that discoverability depends on institutions such as festivals, distributors, critics and awards as well as algorithms. The paper distinguishes generative-image systems from recommendation infrastructures: the former expand and accelerate audiovisual supply, while the latter rank and frame attention. Their convergence increases pressure for searchable and immediately legible content. Silent ecological animation offers a counter-practice grounded in relational attention, environmental agency and shared interpretation. Cultural access, therefore, should be evaluated not only by whether a work is available or recommended, but by whether audiences retain space to interpret it without excessive explanation or optimisation.</w:t>
      </w:r>
    </w:p>
    <w:p>
      <w:pPr>
        <w:spacing w:before="0" w:after="160" w:line="240" w:lineRule="auto"/>
        <w:jc w:val="left"/>
      </w:pPr>
      <w:r>
        <w:rPr>
          <w:rFonts w:ascii="Times New Roman" w:hAnsi="Times New Roman"/>
          <w:b/>
          <w:i w:val="0"/>
          <w:sz w:val="24"/>
          <w:u w:val="none"/>
        </w:rPr>
        <w:t xml:space="preserve">Keywords: </w:t>
      </w:r>
      <w:r>
        <w:rPr>
          <w:rFonts w:ascii="Times New Roman" w:hAnsi="Times New Roman"/>
          <w:b w:val="0"/>
          <w:i w:val="0"/>
          <w:sz w:val="24"/>
          <w:u w:val="none"/>
        </w:rPr>
        <w:t>silent animation; ecological animation; generative AI; algorithmic discoverability; non-verbal storytelling; cultural access</w:t>
      </w:r>
    </w:p>
    <w:p>
      <w:pPr>
        <w:pStyle w:val="Heading1"/>
        <w:keepNext/>
        <w:spacing w:before="160" w:after="60" w:line="240" w:lineRule="auto"/>
      </w:pPr>
      <w:r>
        <w:rPr>
          <w:rFonts w:ascii="Times New Roman" w:hAnsi="Times New Roman"/>
          <w:b/>
          <w:i w:val="0"/>
          <w:sz w:val="28"/>
          <w:u w:val="none"/>
        </w:rPr>
        <w:t>1. Introduction: visibility is not neutral</w:t>
      </w:r>
    </w:p>
    <w:p>
      <w:pPr>
        <w:spacing w:before="0" w:after="80" w:line="240" w:lineRule="auto"/>
        <w:jc w:val="both"/>
      </w:pPr>
      <w:r>
        <w:rPr>
          <w:rFonts w:ascii="Times New Roman" w:hAnsi="Times New Roman"/>
          <w:b w:val="0"/>
          <w:i w:val="0"/>
          <w:sz w:val="24"/>
          <w:u w:val="none"/>
        </w:rPr>
        <w:t>Debates about artificial intelligence in animation commonly concentrate on production: copyright, training data, labour displacement, authorship and the automation of image-making. These questions are urgent, yet production is only one part of the contemporary audiovisual system. Animated works must also be named, categorised, promoted, recommended and encountered. On subscription services, video platforms and social media, discoverability is organised through combinations of metadata, interface design, editorial selection and algorithmic ranking. These mechanisms do not simply reveal a pre-existing field of culture. They participate in producing relevance by deciding which signals count, which audiences are predicted and which works are placed close enough to be noticed [1,2].</w:t>
      </w:r>
    </w:p>
    <w:p>
      <w:pPr>
        <w:spacing w:before="0" w:after="80" w:line="240" w:lineRule="auto"/>
        <w:jc w:val="both"/>
      </w:pPr>
      <w:r>
        <w:rPr>
          <w:rFonts w:ascii="Times New Roman" w:hAnsi="Times New Roman"/>
          <w:b w:val="0"/>
          <w:i w:val="0"/>
          <w:sz w:val="24"/>
          <w:u w:val="none"/>
        </w:rPr>
        <w:t>This paper asks what happens to animation that withholds one of the most searchable and explanatory resources available to audiovisual media: spoken language. Silent animation is used here to mean dialogue-free or substantially non-verbal animation rather than literally soundless film. Music, ambient sound, vocalisation and acoustic texture remain essential. Meaning emerges through bodies, rhythm, framing, montage, spatial transformation and the behaviour of environments. Such works may cross language boundaries without dubbing or subtitles, but they can also resist synopsis, genre classification and the rapid extraction of a verbal premise.</w:t>
      </w:r>
    </w:p>
    <w:p>
      <w:pPr>
        <w:spacing w:before="0" w:after="80" w:line="240" w:lineRule="auto"/>
        <w:jc w:val="both"/>
      </w:pPr>
      <w:r>
        <w:rPr>
          <w:rFonts w:ascii="Times New Roman" w:hAnsi="Times New Roman"/>
          <w:b w:val="0"/>
          <w:i w:val="0"/>
          <w:sz w:val="24"/>
          <w:u w:val="none"/>
        </w:rPr>
        <w:t xml:space="preserve">The argument is not that platforms automatically suppress slow or ambiguous animation. That claim would require access to platform-specific ranking data that is generally unavailable. Instead, I argue that platform infrastructures create pressures towards forms of legibility that can be translated into metadata, thumbnails, categories and anticipated engagement. The international success of </w:t>
      </w:r>
      <w:r>
        <w:rPr>
          <w:rFonts w:ascii="Times New Roman" w:hAnsi="Times New Roman"/>
          <w:b w:val="0"/>
          <w:i/>
          <w:sz w:val="24"/>
          <w:u w:val="none"/>
        </w:rPr>
        <w:t>Flow</w:t>
      </w:r>
      <w:r>
        <w:rPr>
          <w:rFonts w:ascii="Times New Roman" w:hAnsi="Times New Roman"/>
          <w:b w:val="0"/>
          <w:i w:val="0"/>
          <w:sz w:val="24"/>
          <w:u w:val="none"/>
        </w:rPr>
        <w:t xml:space="preserve"> complicates any simple account of algorithmic exclusion. Its path through Cannes, Annecy, theatrical distribution, criticism and major awards [8-10] shows that alternative institutions can generate visibility before or alongside platform recommendation. Discoverability is therefore an ecology of intermediaries rather than a single algorithmic gate.</w:t>
      </w:r>
    </w:p>
    <w:p>
      <w:pPr>
        <w:spacing w:before="0" w:after="80" w:line="240" w:lineRule="auto"/>
        <w:jc w:val="both"/>
      </w:pPr>
      <w:r>
        <w:rPr>
          <w:rFonts w:ascii="Times New Roman" w:hAnsi="Times New Roman"/>
          <w:b w:val="0"/>
          <w:i w:val="0"/>
          <w:sz w:val="24"/>
          <w:u w:val="none"/>
        </w:rPr>
        <w:t xml:space="preserve">Methodologically, the paper brings platform studies and media political economy into dialogue with close formal analysis and practice-based artistic research. It compares </w:t>
      </w:r>
      <w:r>
        <w:rPr>
          <w:rFonts w:ascii="Times New Roman" w:hAnsi="Times New Roman"/>
          <w:b w:val="0"/>
          <w:i/>
          <w:sz w:val="24"/>
          <w:u w:val="none"/>
        </w:rPr>
        <w:t>Flow</w:t>
      </w:r>
      <w:r>
        <w:rPr>
          <w:rFonts w:ascii="Times New Roman" w:hAnsi="Times New Roman"/>
          <w:b w:val="0"/>
          <w:i w:val="0"/>
          <w:sz w:val="24"/>
          <w:u w:val="none"/>
        </w:rPr>
        <w:t xml:space="preserve"> and </w:t>
      </w:r>
      <w:r>
        <w:rPr>
          <w:rFonts w:ascii="Times New Roman" w:hAnsi="Times New Roman"/>
          <w:b w:val="0"/>
          <w:i/>
          <w:sz w:val="24"/>
          <w:u w:val="none"/>
        </w:rPr>
        <w:t>The Red Turtle</w:t>
      </w:r>
      <w:r>
        <w:rPr>
          <w:rFonts w:ascii="Times New Roman" w:hAnsi="Times New Roman"/>
          <w:b w:val="0"/>
          <w:i w:val="0"/>
          <w:sz w:val="24"/>
          <w:u w:val="none"/>
        </w:rPr>
        <w:t xml:space="preserve"> as ecological narratives that organise attention without dialogue, then reflects on the adaptation of wordless sequential art into time-based form. The comparison is interpretive rather than an audience-effects study. It does not claim that every viewer understands the films identically; it asks how their formal decisions create room for situated interpretation.</w:t>
      </w:r>
    </w:p>
    <w:p>
      <w:pPr>
        <w:pStyle w:val="Heading1"/>
        <w:keepNext/>
        <w:spacing w:before="160" w:after="60" w:line="240" w:lineRule="auto"/>
      </w:pPr>
      <w:r>
        <w:rPr>
          <w:rFonts w:ascii="Times New Roman" w:hAnsi="Times New Roman"/>
          <w:b/>
          <w:i w:val="0"/>
          <w:sz w:val="28"/>
          <w:u w:val="none"/>
        </w:rPr>
        <w:t>2. Discoverability, platforms and generative abundance</w:t>
      </w:r>
    </w:p>
    <w:p>
      <w:pPr>
        <w:spacing w:before="0" w:after="80" w:line="240" w:lineRule="auto"/>
        <w:jc w:val="both"/>
      </w:pPr>
      <w:r>
        <w:rPr>
          <w:rFonts w:ascii="Times New Roman" w:hAnsi="Times New Roman"/>
          <w:b w:val="0"/>
          <w:i w:val="0"/>
          <w:sz w:val="24"/>
          <w:u w:val="none"/>
        </w:rPr>
        <w:t>Algorithmic discoverability is best understood as a layered cultural process. Recommendation systems calculate relations among users, titles and behavioural traces, while interfaces turn those calculations into rows, rankings, notifications and personalised prompts. Metadata supplies the descriptive handles through which a work can be indexed. Promotional assets compress an audiovisual experience into a title, image, category and short description. Editorial teams, distributors, festivals and critics add further judgements. Platformisation consequently reshapes cultural production itself: creators and intermediaries increasingly anticipate the data structures, business models and forms of circulation through which work will become available [3,4].</w:t>
      </w:r>
    </w:p>
    <w:p>
      <w:pPr>
        <w:spacing w:before="0" w:after="80" w:line="240" w:lineRule="auto"/>
        <w:jc w:val="both"/>
      </w:pPr>
      <w:r>
        <w:rPr>
          <w:rFonts w:ascii="Times New Roman" w:hAnsi="Times New Roman"/>
          <w:b w:val="0"/>
          <w:i w:val="0"/>
          <w:sz w:val="24"/>
          <w:u w:val="none"/>
        </w:rPr>
        <w:t>This process matters aesthetically because classification is never exhaustive. A dialogue-heavy film can yield searchable quotations, named themes and linguistic summaries. A silent ecological animation may depend on gradual shifts in scale, the duration of a look, the changing density of rain or the uncertain relation between animal behaviour and symbolic meaning. These qualities can certainly be described, but description may reduce the ambiguity through which they operate. The difficulty is not technical invisibility: every digital file can receive metadata. It is the mismatch between experiential complexity and the limited signs through which platforms stage relevance.</w:t>
      </w:r>
    </w:p>
    <w:p>
      <w:pPr>
        <w:spacing w:before="0" w:after="80" w:line="240" w:lineRule="auto"/>
        <w:jc w:val="both"/>
      </w:pPr>
      <w:r>
        <w:rPr>
          <w:rFonts w:ascii="Times New Roman" w:hAnsi="Times New Roman"/>
          <w:b w:val="0"/>
          <w:i w:val="0"/>
          <w:sz w:val="24"/>
          <w:u w:val="none"/>
        </w:rPr>
        <w:t>Generative AI intensifies this problem without being identical to recommendation. Generative systems synthesise images, motion, sound or text; recommendation systems rank, target and sequence existing or newly generated material. Conflating them obscures different questions of power and accountability. Yet their convergence is significant. As generative tools lower some costs of producing variations, promotional assets and audiovisual content, the volume of material competing for attention expands. Automated captioning, tagging and summarisation can make works more machine-readable, but can also impose confident verbal descriptions on deliberately open images. At the same time, engagement-oriented distribution can reward immediately recognisable hooks and repeatable categories. The issue is not that speed or metadata are inherently harmful. It is whether optimisation becomes the principal condition under which cultural expression can be found.</w:t>
      </w:r>
    </w:p>
    <w:p>
      <w:pPr>
        <w:spacing w:before="0" w:after="80" w:line="240" w:lineRule="auto"/>
        <w:jc w:val="both"/>
      </w:pPr>
      <w:r>
        <w:rPr>
          <w:rFonts w:ascii="Times New Roman" w:hAnsi="Times New Roman"/>
          <w:b w:val="0"/>
          <w:i w:val="0"/>
          <w:sz w:val="24"/>
          <w:u w:val="none"/>
        </w:rPr>
        <w:t>Algorithmic systems also invite anticipatory adaptation. Creators may format, title or pace work according to imagined platform preferences even when ranking mechanisms remain opaque. Bucher describes algorithmic power as operating partly through the possibilities and threats people associate with systems, not solely through a deterministic command [5]. For independent animation, this can mean producing multiple trailers, explanatory captions, platform-specific cuts or verbal framings to secure attention. Such practices may support access, but they also move interpretive labour away from the encounter with the film and towards advance explanation.</w:t>
      </w:r>
    </w:p>
    <w:p>
      <w:pPr>
        <w:pStyle w:val="Heading1"/>
        <w:keepNext/>
        <w:spacing w:before="160" w:after="60" w:line="240" w:lineRule="auto"/>
      </w:pPr>
      <w:r>
        <w:rPr>
          <w:rFonts w:ascii="Times New Roman" w:hAnsi="Times New Roman"/>
          <w:b/>
          <w:i w:val="0"/>
          <w:sz w:val="28"/>
          <w:u w:val="none"/>
        </w:rPr>
        <w:t>3. Environmental agency in Flow and The Red Turtle</w:t>
      </w:r>
    </w:p>
    <w:p>
      <w:pPr>
        <w:spacing w:before="0" w:after="80" w:line="240" w:lineRule="auto"/>
        <w:jc w:val="both"/>
      </w:pPr>
      <w:r>
        <w:rPr>
          <w:rFonts w:ascii="Times New Roman" w:hAnsi="Times New Roman"/>
          <w:b w:val="0"/>
          <w:i/>
          <w:sz w:val="24"/>
          <w:u w:val="none"/>
        </w:rPr>
        <w:t>Flow</w:t>
      </w:r>
      <w:r>
        <w:rPr>
          <w:rFonts w:ascii="Times New Roman" w:hAnsi="Times New Roman"/>
          <w:b w:val="0"/>
          <w:i w:val="0"/>
          <w:sz w:val="24"/>
          <w:u w:val="none"/>
        </w:rPr>
        <w:t xml:space="preserve"> [6] follows a cat and a shifting group of animals through a flooded, apparently post-human landscape. </w:t>
      </w:r>
      <w:r>
        <w:rPr>
          <w:rFonts w:ascii="Times New Roman" w:hAnsi="Times New Roman"/>
          <w:b w:val="0"/>
          <w:i/>
          <w:sz w:val="24"/>
          <w:u w:val="none"/>
        </w:rPr>
        <w:t>The Red Turtle</w:t>
      </w:r>
      <w:r>
        <w:rPr>
          <w:rFonts w:ascii="Times New Roman" w:hAnsi="Times New Roman"/>
          <w:b w:val="0"/>
          <w:i w:val="0"/>
          <w:sz w:val="24"/>
          <w:u w:val="none"/>
        </w:rPr>
        <w:t xml:space="preserve"> [7] centres on a castaway whose repeated attempts to leave an island give way to an intergenerational life shaped by a mysterious turtle-woman. Both films dispense with spoken dialogue, but their silence performs different work. </w:t>
      </w:r>
      <w:r>
        <w:rPr>
          <w:rFonts w:ascii="Times New Roman" w:hAnsi="Times New Roman"/>
          <w:b w:val="0"/>
          <w:i/>
          <w:sz w:val="24"/>
          <w:u w:val="none"/>
        </w:rPr>
        <w:t>Flow</w:t>
      </w:r>
      <w:r>
        <w:rPr>
          <w:rFonts w:ascii="Times New Roman" w:hAnsi="Times New Roman"/>
          <w:b w:val="0"/>
          <w:i w:val="0"/>
          <w:sz w:val="24"/>
          <w:u w:val="none"/>
        </w:rPr>
        <w:t xml:space="preserve"> distributes attention across an ensemble of animals whose behaviours remain recognisably species-specific even as they support a dramatic arc. </w:t>
      </w:r>
      <w:r>
        <w:rPr>
          <w:rFonts w:ascii="Times New Roman" w:hAnsi="Times New Roman"/>
          <w:b w:val="0"/>
          <w:i/>
          <w:sz w:val="24"/>
          <w:u w:val="none"/>
        </w:rPr>
        <w:t>The Red Turtle</w:t>
      </w:r>
      <w:r>
        <w:rPr>
          <w:rFonts w:ascii="Times New Roman" w:hAnsi="Times New Roman"/>
          <w:b w:val="0"/>
          <w:i w:val="0"/>
          <w:sz w:val="24"/>
          <w:u w:val="none"/>
        </w:rPr>
        <w:t xml:space="preserve"> uses a more allegorical human figure and a carefully simplified visual world. In both, ecology is not a theme laid over the narrative; environmental processes organise narrative time.</w:t>
      </w:r>
    </w:p>
    <w:p>
      <w:pPr>
        <w:spacing w:before="0" w:after="80" w:line="240" w:lineRule="auto"/>
        <w:jc w:val="both"/>
      </w:pPr>
      <w:r>
        <w:rPr>
          <w:rFonts w:ascii="Times New Roman" w:hAnsi="Times New Roman"/>
          <w:b w:val="0"/>
          <w:i w:val="0"/>
          <w:sz w:val="24"/>
          <w:u w:val="none"/>
        </w:rPr>
        <w:t xml:space="preserve">Water is the clearest agent. In </w:t>
      </w:r>
      <w:r>
        <w:rPr>
          <w:rFonts w:ascii="Times New Roman" w:hAnsi="Times New Roman"/>
          <w:b w:val="0"/>
          <w:i/>
          <w:sz w:val="24"/>
          <w:u w:val="none"/>
        </w:rPr>
        <w:t>Flow</w:t>
      </w:r>
      <w:r>
        <w:rPr>
          <w:rFonts w:ascii="Times New Roman" w:hAnsi="Times New Roman"/>
          <w:b w:val="0"/>
          <w:i w:val="0"/>
          <w:sz w:val="24"/>
          <w:u w:val="none"/>
        </w:rPr>
        <w:t>, rising water interrupts territory, forces proximity and continually changes the navigable world. It is danger, transport, boundary and connective medium. The camera often moves with a fluidity that denies a stable human viewpoint, following bodies through spaces that cannot be mastered. The animals communicate through posture, distance, sound and coordinated action. Cooperation is not announced as a moral lesson; it becomes perceptible through repeated adjustments among differently motivated creatures. Zilbalodis has described building the film around immersion, naturalistic animal behaviour and a moving camera, with Blender enabling a comparatively small team to shape this continuous world [11].</w:t>
      </w:r>
    </w:p>
    <w:p>
      <w:pPr>
        <w:spacing w:before="0" w:after="80" w:line="240" w:lineRule="auto"/>
        <w:jc w:val="both"/>
      </w:pPr>
      <w:r>
        <w:rPr>
          <w:rFonts w:ascii="Times New Roman" w:hAnsi="Times New Roman"/>
          <w:b w:val="0"/>
          <w:i w:val="0"/>
          <w:sz w:val="24"/>
          <w:u w:val="none"/>
        </w:rPr>
        <w:t xml:space="preserve">In </w:t>
      </w:r>
      <w:r>
        <w:rPr>
          <w:rFonts w:ascii="Times New Roman" w:hAnsi="Times New Roman"/>
          <w:b w:val="0"/>
          <w:i/>
          <w:sz w:val="24"/>
          <w:u w:val="none"/>
        </w:rPr>
        <w:t>The Red Turtle</w:t>
      </w:r>
      <w:r>
        <w:rPr>
          <w:rFonts w:ascii="Times New Roman" w:hAnsi="Times New Roman"/>
          <w:b w:val="0"/>
          <w:i w:val="0"/>
          <w:sz w:val="24"/>
          <w:u w:val="none"/>
        </w:rPr>
        <w:t>, ocean and island produce a slower pattern of resistance, accommodation and recurrence. The castaway initially treats the environment as an obstacle to escape. His rafts are destroyed, and the turtle's transformation shifts the film from survival narrative towards fable. Storm, bamboo, tide and animal life mark durations larger than individual intention. Dudok de Wit has explained that the absence of dialogue was connected to simplicity and to trusting image, music and sound to carry emotion [12]. The result does not erase human meaning; it decentres verbal mastery. Viewers must infer changes in attachment, grief and acceptance from gesture, repetition and temporal ellipsis.</w:t>
      </w:r>
    </w:p>
    <w:p>
      <w:pPr>
        <w:spacing w:before="0" w:after="80" w:line="240" w:lineRule="auto"/>
        <w:jc w:val="both"/>
      </w:pPr>
      <w:r>
        <w:rPr>
          <w:rFonts w:ascii="Times New Roman" w:hAnsi="Times New Roman"/>
          <w:b w:val="0"/>
          <w:i w:val="0"/>
          <w:sz w:val="24"/>
          <w:u w:val="none"/>
        </w:rPr>
        <w:t>Ecocritical film theory helps clarify why these formal choices matter. Moving images can organise relations among human, non-human and perceptual worlds rather than merely representing nature as scenery [13]. Slow or observational cinema can retrain attention by allowing landscapes and material processes to exceed their function as narrative background [14]. Animation adds a productive complication: every movement and environment is constructed, yet construction can foreground relations that live-action conventions often naturalise. A wave does not need to speak to act. A change in wind, light or animal formation can redirect both the story and the viewer's attention.</w:t>
      </w:r>
    </w:p>
    <w:p>
      <w:pPr>
        <w:spacing w:before="0" w:after="80" w:line="240" w:lineRule="auto"/>
        <w:jc w:val="both"/>
      </w:pPr>
      <w:r>
        <w:rPr>
          <w:rFonts w:ascii="Times New Roman" w:hAnsi="Times New Roman"/>
          <w:b w:val="0"/>
          <w:i w:val="0"/>
          <w:sz w:val="24"/>
          <w:u w:val="none"/>
        </w:rPr>
        <w:t>Neither film should be romanticised as universally accessible. Non-verbal form reduces dependence on a particular spoken language, but visual conventions, symbolism, sensory ability and cultural experience continue to shape interpretation. Accessibility for blind and partially sighted audiences, for example, may require audio description, which necessarily verbalises some visual ambiguity. Cultural access is therefore not achieved by silence alone. The more defensible claim is that dialogue-free form redistributes barriers and possibilities: it can widen linguistic circulation while asking institutions to provide contextual and sensory access without fixing one authorised meaning.</w:t>
      </w:r>
    </w:p>
    <w:p>
      <w:pPr>
        <w:pStyle w:val="Heading1"/>
        <w:keepNext/>
        <w:spacing w:before="160" w:after="60" w:line="240" w:lineRule="auto"/>
      </w:pPr>
      <w:r>
        <w:rPr>
          <w:rFonts w:ascii="Times New Roman" w:hAnsi="Times New Roman"/>
          <w:b/>
          <w:i w:val="0"/>
          <w:sz w:val="28"/>
          <w:u w:val="none"/>
        </w:rPr>
        <w:t>4. From the silent page to animated duration: a practice-based reflection</w:t>
      </w:r>
    </w:p>
    <w:p>
      <w:pPr>
        <w:spacing w:before="0" w:after="80" w:line="240" w:lineRule="auto"/>
        <w:jc w:val="both"/>
      </w:pPr>
      <w:r>
        <w:rPr>
          <w:rFonts w:ascii="Times New Roman" w:hAnsi="Times New Roman"/>
          <w:b w:val="0"/>
          <w:i w:val="0"/>
          <w:sz w:val="24"/>
          <w:u w:val="none"/>
        </w:rPr>
        <w:t>My practice in wordless graphic narrative begins from the interval between images. On the page, readers control pace: they may pause, return, compare panels or remain with a detail. Meaning is produced not only inside images but through the inferential work of connecting them. Adapting such material into animation changes this ethical and aesthetic relation. Duration is no longer directly controlled by the reader. The moving image decides when a gesture begins, how long weather is held, when sound enters and when a cut removes the possibility of further looking.</w:t>
      </w:r>
    </w:p>
    <w:p>
      <w:pPr>
        <w:spacing w:before="0" w:after="80" w:line="240" w:lineRule="auto"/>
        <w:jc w:val="both"/>
      </w:pPr>
      <w:r>
        <w:rPr>
          <w:rFonts w:ascii="Times New Roman" w:hAnsi="Times New Roman"/>
          <w:b w:val="0"/>
          <w:i w:val="0"/>
          <w:sz w:val="24"/>
          <w:u w:val="none"/>
        </w:rPr>
        <w:t>The adaptation problem is therefore not simply how to make drawings move. It is how to preserve interpretive agency when temporal control shifts towards the film-maker. One response is to avoid compensating for silence with explanatory excess. Voice-over, textual captions or emphatic musical cues can make a work easier to summarise, yet they may also close the gaps that gave the source its participatory force. A more careful adaptation treats rhythm, off-screen space, environmental sound and repeated motifs as invitations rather than instructions. It asks what the viewer needs in order to orient themselves, and what can remain unresolved.</w:t>
      </w:r>
    </w:p>
    <w:p>
      <w:pPr>
        <w:spacing w:before="0" w:after="80" w:line="240" w:lineRule="auto"/>
        <w:jc w:val="both"/>
      </w:pPr>
      <w:r>
        <w:rPr>
          <w:rFonts w:ascii="Times New Roman" w:hAnsi="Times New Roman"/>
          <w:b w:val="0"/>
          <w:i w:val="0"/>
          <w:sz w:val="24"/>
          <w:u w:val="none"/>
        </w:rPr>
        <w:t>This perspective also changes how discoverability is framed. A promotional description has a legitimate orienting role, especially where a work circulates beyond familiar art-film contexts. But access should not require translating every ambiguity into a marketable statement. For a silent ecological work, useful metadata might describe production context, language independence, accessibility features, environmental themes and formal approach while acknowledging interpretive openness. Multiple descriptive pathways can serve different audiences better than a single optimised synopsis. Human curation is especially important here because curators can explain why a work matters without pretending to predict the only audience to whom it belongs.</w:t>
      </w:r>
    </w:p>
    <w:p>
      <w:pPr>
        <w:spacing w:before="0" w:after="80" w:line="240" w:lineRule="auto"/>
        <w:jc w:val="both"/>
      </w:pPr>
      <w:r>
        <w:rPr>
          <w:rFonts w:ascii="Times New Roman" w:hAnsi="Times New Roman"/>
          <w:b w:val="0"/>
          <w:i w:val="0"/>
          <w:sz w:val="24"/>
          <w:u w:val="none"/>
        </w:rPr>
        <w:t>Practice-based research makes visible a tension that abstract accounts of recommendation can miss. Artists need audiences and cannot simply refuse circulation. At the same time, every demand for a clearer hook, faster opening or more literal description may alter the work before an algorithm ranks it. Quiet refusal, in this context, does not mean withdrawal from technology. It means selective participation: using digital tools and metadata while retaining durations, uncertainties and non-verbal relations that are not designed solely for measurement.</w:t>
      </w:r>
    </w:p>
    <w:p>
      <w:pPr>
        <w:pStyle w:val="Heading1"/>
        <w:keepNext/>
        <w:spacing w:before="160" w:after="60" w:line="240" w:lineRule="auto"/>
      </w:pPr>
      <w:r>
        <w:rPr>
          <w:rFonts w:ascii="Times New Roman" w:hAnsi="Times New Roman"/>
          <w:b/>
          <w:i w:val="0"/>
          <w:sz w:val="28"/>
          <w:u w:val="none"/>
        </w:rPr>
        <w:t>5. Rethinking cultural access</w:t>
      </w:r>
    </w:p>
    <w:p>
      <w:pPr>
        <w:spacing w:before="0" w:after="80" w:line="240" w:lineRule="auto"/>
        <w:jc w:val="both"/>
      </w:pPr>
      <w:r>
        <w:rPr>
          <w:rFonts w:ascii="Times New Roman" w:hAnsi="Times New Roman"/>
          <w:b w:val="0"/>
          <w:i w:val="0"/>
          <w:sz w:val="24"/>
          <w:u w:val="none"/>
        </w:rPr>
        <w:t>The comparison suggests three principles for cultural access. First, availability is not equivalent to discoverability. A title may exist in a catalogue yet remain effectively absent if interfaces provide no meaningful route towards it. Second, discoverability is not equivalent to comprehension. Being shown a film does not guarantee the time, context or accessibility support required to engage with it. Third, comprehension should not be confused with identical interpretation. Silent animation can create shared attention precisely because viewers participate differently in completing its meanings.</w:t>
      </w:r>
    </w:p>
    <w:p>
      <w:pPr>
        <w:spacing w:before="0" w:after="80" w:line="240" w:lineRule="auto"/>
        <w:jc w:val="both"/>
      </w:pPr>
      <w:r>
        <w:rPr>
          <w:rFonts w:ascii="Times New Roman" w:hAnsi="Times New Roman"/>
          <w:b w:val="0"/>
          <w:i w:val="0"/>
          <w:sz w:val="24"/>
          <w:u w:val="none"/>
        </w:rPr>
        <w:t>For platforms and cultural institutions, these principles point towards plural rather than totalising description. Metadata should include language dependence, dialogue-free form, accessibility resources, production region and ecological themes, but classification should not become a substitute for encounter. Editorial collections, festival partnerships and contextual essays can provide routes that are not based exclusively on behavioural similarity. Transparent explanations of why a title is recommended would also help audiences distinguish commercial placement, popularity and thematic connection. These measures cannot eliminate inequality in cultural distribution, but they can make mediation more visible and contestable.</w:t>
      </w:r>
    </w:p>
    <w:p>
      <w:pPr>
        <w:spacing w:before="0" w:after="80" w:line="240" w:lineRule="auto"/>
        <w:jc w:val="both"/>
      </w:pPr>
      <w:r>
        <w:rPr>
          <w:rFonts w:ascii="Times New Roman" w:hAnsi="Times New Roman"/>
          <w:b w:val="0"/>
          <w:i/>
          <w:sz w:val="24"/>
          <w:u w:val="none"/>
        </w:rPr>
        <w:t>Flow</w:t>
      </w:r>
      <w:r>
        <w:rPr>
          <w:rFonts w:ascii="Times New Roman" w:hAnsi="Times New Roman"/>
          <w:b w:val="0"/>
          <w:i w:val="0"/>
          <w:sz w:val="24"/>
          <w:u w:val="none"/>
        </w:rPr>
        <w:t xml:space="preserve"> is instructive because its visibility emerged through a hybrid pathway. A dialogue-free independent feature travelled through festivals, theatrical exhibition, critical discussion and awards before becoming widely recognised. This does not prove that ambiguity naturally succeeds, nor that platforms are irrelevant. It shows that cultural institutions can supply signals of value that recommendation systems then absorb. The danger is a circular ecology in which only works already validated elsewhere receive platform visibility. Supporting diverse animation therefore requires investment in festivals, public-service curation, criticism, subtitling and dubbing where relevant, audio description, archives and independent distribution, not merely better prediction.</w:t>
      </w:r>
    </w:p>
    <w:p>
      <w:pPr>
        <w:spacing w:before="0" w:after="80" w:line="240" w:lineRule="auto"/>
        <w:jc w:val="both"/>
      </w:pPr>
      <w:r>
        <w:rPr>
          <w:rFonts w:ascii="Times New Roman" w:hAnsi="Times New Roman"/>
          <w:b w:val="0"/>
          <w:i w:val="0"/>
          <w:sz w:val="24"/>
          <w:u w:val="none"/>
        </w:rPr>
        <w:t>Generative AI makes this institutional question more urgent. When audiovisual supply can be multiplied rapidly, scarcity moves from production towards attention, verification and sustained encounter. The appropriate response is not to idealise slowness or reject automation wholesale. It is to protect the conditions under which culturally specific, formally difficult and environmentally attentive works can remain findable. Systems should assist navigation without treating past engagement as the limit of future curiosity.</w:t>
      </w:r>
    </w:p>
    <w:p>
      <w:pPr>
        <w:pStyle w:val="Heading1"/>
        <w:keepNext/>
        <w:spacing w:before="160" w:after="60" w:line="240" w:lineRule="auto"/>
      </w:pPr>
      <w:r>
        <w:rPr>
          <w:rFonts w:ascii="Times New Roman" w:hAnsi="Times New Roman"/>
          <w:b/>
          <w:i w:val="0"/>
          <w:sz w:val="28"/>
          <w:u w:val="none"/>
        </w:rPr>
        <w:t>6. Conclusion</w:t>
      </w:r>
    </w:p>
    <w:p>
      <w:pPr>
        <w:spacing w:before="0" w:after="80" w:line="240" w:lineRule="auto"/>
        <w:jc w:val="both"/>
      </w:pPr>
      <w:r>
        <w:rPr>
          <w:rFonts w:ascii="Times New Roman" w:hAnsi="Times New Roman"/>
          <w:b w:val="0"/>
          <w:i w:val="0"/>
          <w:sz w:val="24"/>
          <w:u w:val="none"/>
        </w:rPr>
        <w:t xml:space="preserve">Silent ecological animation challenges the assumption that cultural access depends on immediate verbal clarity. </w:t>
      </w:r>
      <w:r>
        <w:rPr>
          <w:rFonts w:ascii="Times New Roman" w:hAnsi="Times New Roman"/>
          <w:b w:val="0"/>
          <w:i/>
          <w:sz w:val="24"/>
          <w:u w:val="none"/>
        </w:rPr>
        <w:t>Flow</w:t>
      </w:r>
      <w:r>
        <w:rPr>
          <w:rFonts w:ascii="Times New Roman" w:hAnsi="Times New Roman"/>
          <w:b w:val="0"/>
          <w:i w:val="0"/>
          <w:sz w:val="24"/>
          <w:u w:val="none"/>
        </w:rPr>
        <w:t xml:space="preserve"> and </w:t>
      </w:r>
      <w:r>
        <w:rPr>
          <w:rFonts w:ascii="Times New Roman" w:hAnsi="Times New Roman"/>
          <w:b w:val="0"/>
          <w:i/>
          <w:sz w:val="24"/>
          <w:u w:val="none"/>
        </w:rPr>
        <w:t>The Red Turtle</w:t>
      </w:r>
      <w:r>
        <w:rPr>
          <w:rFonts w:ascii="Times New Roman" w:hAnsi="Times New Roman"/>
          <w:b w:val="0"/>
          <w:i w:val="0"/>
          <w:sz w:val="24"/>
          <w:u w:val="none"/>
        </w:rPr>
        <w:t xml:space="preserve"> build meaning through movement, sound, rhythm and environments that act rather than merely illustrate. Their silence crosses some linguistic boundaries while preserving ambiguity, but it does not exist outside cultural infrastructure. Festivals, distributors, critics, accessibility practices, metadata and recommendation interfaces all shape whether and how these films reach audiences.</w:t>
      </w:r>
    </w:p>
    <w:p>
      <w:pPr>
        <w:spacing w:before="0" w:after="80" w:line="240" w:lineRule="auto"/>
        <w:jc w:val="both"/>
      </w:pPr>
      <w:r>
        <w:rPr>
          <w:rFonts w:ascii="Times New Roman" w:hAnsi="Times New Roman"/>
          <w:b w:val="0"/>
          <w:i w:val="0"/>
          <w:sz w:val="24"/>
          <w:u w:val="none"/>
        </w:rPr>
        <w:t>The central distinction of this paper is between generation and discoverability. Generative AI changes the scale and conditions of audiovisual production; algorithmic recommendation changes how attention is allocated. As these systems converge, animation policy and research must examine not only who owns an image or how quickly it is made, but which aesthetic forms remain visible and what kinds of spectatorship they permit. A meaningful account of access should therefore include interpretive agency: the viewer's capacity to attend, infer and form relations without being reduced to a predicted response.</w:t>
      </w:r>
    </w:p>
    <w:p>
      <w:pPr>
        <w:spacing w:before="0" w:after="80" w:line="240" w:lineRule="auto"/>
        <w:jc w:val="both"/>
      </w:pPr>
      <w:r>
        <w:rPr>
          <w:rFonts w:ascii="Times New Roman" w:hAnsi="Times New Roman"/>
          <w:b w:val="0"/>
          <w:i w:val="0"/>
          <w:sz w:val="24"/>
          <w:u w:val="none"/>
        </w:rPr>
        <w:t>Silent ecological animation offers neither a universal language nor a simple escape from platforms. It offers a demanding alternative: cultural circulation organised around relational attention rather than explanation alone. Protecting that possibility requires technological design, human curation and cultural funding that recognise ambiguity as a form of value rather than a defect in classification.</w:t>
      </w:r>
    </w:p>
    <w:p>
      <w:pPr>
        <w:pStyle w:val="Heading1"/>
        <w:keepNext/>
        <w:spacing w:before="160" w:after="60" w:line="240" w:lineRule="auto"/>
      </w:pPr>
      <w:r>
        <w:rPr>
          <w:rFonts w:ascii="Times New Roman" w:hAnsi="Times New Roman"/>
          <w:b/>
          <w:i w:val="0"/>
          <w:sz w:val="28"/>
          <w:u w:val="none"/>
        </w:rPr>
        <w:t>References</w:t>
      </w:r>
    </w:p>
    <w:p>
      <w:pPr>
        <w:spacing w:before="0" w:after="20" w:line="240" w:lineRule="auto"/>
        <w:ind w:left="357" w:hanging="357"/>
        <w:jc w:val="both"/>
      </w:pPr>
      <w:r>
        <w:rPr>
          <w:rFonts w:ascii="Times New Roman" w:hAnsi="Times New Roman"/>
          <w:b w:val="0"/>
          <w:i w:val="0"/>
          <w:sz w:val="20"/>
          <w:u w:val="none"/>
        </w:rPr>
        <w:t>[1] T. Gillespie, The relevance of algorithms, in: T. Gillespie, P.J. Boczkowski, K.A. Foot (Eds.), Media Technologies: Essays on Communication, Materiality, and Society, MIT Press, Cambridge, MA, 2014, pp. 167-194.</w:t>
      </w:r>
    </w:p>
    <w:p>
      <w:pPr>
        <w:spacing w:before="0" w:after="20" w:line="240" w:lineRule="auto"/>
        <w:ind w:left="357" w:hanging="357"/>
        <w:jc w:val="both"/>
      </w:pPr>
      <w:r>
        <w:rPr>
          <w:rFonts w:ascii="Times New Roman" w:hAnsi="Times New Roman"/>
          <w:b w:val="0"/>
          <w:i w:val="0"/>
          <w:sz w:val="20"/>
          <w:u w:val="none"/>
        </w:rPr>
        <w:t>[2] B. Hallinan, T. Striphas, Recommended for you: The Netflix Prize and the production of algorithmic culture, New Media &amp; Society 18 (2016) 117-137. https://doi.org/10.1177/1461444814538646.</w:t>
      </w:r>
    </w:p>
    <w:p>
      <w:pPr>
        <w:spacing w:before="0" w:after="20" w:line="240" w:lineRule="auto"/>
        <w:ind w:left="357" w:hanging="357"/>
        <w:jc w:val="both"/>
      </w:pPr>
      <w:r>
        <w:rPr>
          <w:rFonts w:ascii="Times New Roman" w:hAnsi="Times New Roman"/>
          <w:b w:val="0"/>
          <w:i w:val="0"/>
          <w:sz w:val="20"/>
          <w:u w:val="none"/>
        </w:rPr>
        <w:t>[3] D.B. Nieborg, T. Poell, The platformization of cultural production: Theorizing the contingent cultural commodity, New Media &amp; Society 20 (2018) 4275-4292. https://doi.org/10.1177/1461444818769694.</w:t>
      </w:r>
    </w:p>
    <w:p>
      <w:pPr>
        <w:spacing w:before="0" w:after="20" w:line="240" w:lineRule="auto"/>
        <w:ind w:left="357" w:hanging="357"/>
        <w:jc w:val="both"/>
      </w:pPr>
      <w:r>
        <w:rPr>
          <w:rFonts w:ascii="Times New Roman" w:hAnsi="Times New Roman"/>
          <w:b w:val="0"/>
          <w:i w:val="0"/>
          <w:sz w:val="20"/>
          <w:u w:val="none"/>
        </w:rPr>
        <w:t>[4] R. Lobato, Netflix Nations: The Geography of Digital Distribution, New York University Press, New York, 2019.</w:t>
      </w:r>
    </w:p>
    <w:p>
      <w:pPr>
        <w:spacing w:before="0" w:after="20" w:line="240" w:lineRule="auto"/>
        <w:ind w:left="357" w:hanging="357"/>
        <w:jc w:val="both"/>
      </w:pPr>
      <w:r>
        <w:rPr>
          <w:rFonts w:ascii="Times New Roman" w:hAnsi="Times New Roman"/>
          <w:b w:val="0"/>
          <w:i w:val="0"/>
          <w:sz w:val="20"/>
          <w:u w:val="none"/>
        </w:rPr>
        <w:t xml:space="preserve">[5] T. Bucher, </w:t>
      </w:r>
      <w:r>
        <w:rPr>
          <w:rFonts w:ascii="Times New Roman" w:hAnsi="Times New Roman"/>
          <w:b w:val="0"/>
          <w:i/>
          <w:sz w:val="20"/>
          <w:u w:val="none"/>
        </w:rPr>
        <w:t>If...Then</w:t>
      </w:r>
      <w:r>
        <w:rPr>
          <w:rFonts w:ascii="Times New Roman" w:hAnsi="Times New Roman"/>
          <w:b w:val="0"/>
          <w:i w:val="0"/>
          <w:sz w:val="20"/>
          <w:u w:val="none"/>
        </w:rPr>
        <w:t>: Algorithmic Power and Politics, Oxford University Press, New York, 2018.</w:t>
      </w:r>
    </w:p>
    <w:p>
      <w:pPr>
        <w:spacing w:before="0" w:after="20" w:line="240" w:lineRule="auto"/>
        <w:ind w:left="357" w:hanging="357"/>
        <w:jc w:val="both"/>
      </w:pPr>
      <w:r>
        <w:rPr>
          <w:rFonts w:ascii="Times New Roman" w:hAnsi="Times New Roman"/>
          <w:b w:val="0"/>
          <w:i w:val="0"/>
          <w:sz w:val="20"/>
          <w:u w:val="none"/>
        </w:rPr>
        <w:t xml:space="preserve">[6] G. Zilbalodis (Director), </w:t>
      </w:r>
      <w:r>
        <w:rPr>
          <w:rFonts w:ascii="Times New Roman" w:hAnsi="Times New Roman"/>
          <w:b w:val="0"/>
          <w:i/>
          <w:sz w:val="20"/>
          <w:u w:val="none"/>
        </w:rPr>
        <w:t>Flow</w:t>
      </w:r>
      <w:r>
        <w:rPr>
          <w:rFonts w:ascii="Times New Roman" w:hAnsi="Times New Roman"/>
          <w:b w:val="0"/>
          <w:i w:val="0"/>
          <w:sz w:val="20"/>
          <w:u w:val="none"/>
        </w:rPr>
        <w:t xml:space="preserve"> [Film], 2024.</w:t>
      </w:r>
    </w:p>
    <w:p>
      <w:pPr>
        <w:spacing w:before="0" w:after="20" w:line="240" w:lineRule="auto"/>
        <w:ind w:left="357" w:hanging="357"/>
        <w:jc w:val="both"/>
      </w:pPr>
      <w:r>
        <w:rPr>
          <w:rFonts w:ascii="Times New Roman" w:hAnsi="Times New Roman"/>
          <w:b w:val="0"/>
          <w:i w:val="0"/>
          <w:sz w:val="20"/>
          <w:u w:val="none"/>
        </w:rPr>
        <w:t xml:space="preserve">[7] M. Dudok de Wit (Director), </w:t>
      </w:r>
      <w:r>
        <w:rPr>
          <w:rFonts w:ascii="Times New Roman" w:hAnsi="Times New Roman"/>
          <w:b w:val="0"/>
          <w:i/>
          <w:sz w:val="20"/>
          <w:u w:val="none"/>
        </w:rPr>
        <w:t>The Red Turtle</w:t>
      </w:r>
      <w:r>
        <w:rPr>
          <w:rFonts w:ascii="Times New Roman" w:hAnsi="Times New Roman"/>
          <w:b w:val="0"/>
          <w:i w:val="0"/>
          <w:sz w:val="20"/>
          <w:u w:val="none"/>
        </w:rPr>
        <w:t xml:space="preserve"> [Film], 2016.</w:t>
      </w:r>
    </w:p>
    <w:p>
      <w:pPr>
        <w:spacing w:before="0" w:after="20" w:line="240" w:lineRule="auto"/>
        <w:ind w:left="357" w:hanging="357"/>
        <w:jc w:val="both"/>
      </w:pPr>
      <w:r>
        <w:rPr>
          <w:rFonts w:ascii="Times New Roman" w:hAnsi="Times New Roman"/>
          <w:b w:val="0"/>
          <w:i w:val="0"/>
          <w:sz w:val="20"/>
          <w:u w:val="none"/>
        </w:rPr>
        <w:t xml:space="preserve">[8] Festival de Cannes, </w:t>
      </w:r>
      <w:r>
        <w:rPr>
          <w:rFonts w:ascii="Times New Roman" w:hAnsi="Times New Roman"/>
          <w:b w:val="0"/>
          <w:i/>
          <w:sz w:val="20"/>
          <w:u w:val="none"/>
        </w:rPr>
        <w:t>Flow</w:t>
      </w:r>
      <w:r>
        <w:rPr>
          <w:rFonts w:ascii="Times New Roman" w:hAnsi="Times New Roman"/>
          <w:b w:val="0"/>
          <w:i w:val="0"/>
          <w:sz w:val="20"/>
          <w:u w:val="none"/>
        </w:rPr>
        <w:t>, Un Certain Regard, 2024. https://www.festival-cannes.com/en/f/flow/ (accessed 1 September 2026).</w:t>
      </w:r>
    </w:p>
    <w:p>
      <w:pPr>
        <w:spacing w:before="0" w:after="20" w:line="240" w:lineRule="auto"/>
        <w:ind w:left="357" w:hanging="357"/>
        <w:jc w:val="both"/>
      </w:pPr>
      <w:r>
        <w:rPr>
          <w:rFonts w:ascii="Times New Roman" w:hAnsi="Times New Roman"/>
          <w:b w:val="0"/>
          <w:i w:val="0"/>
          <w:sz w:val="20"/>
          <w:u w:val="none"/>
        </w:rPr>
        <w:t xml:space="preserve">[9] Annecy International Animation Film Festival, 2024 Award Winners: </w:t>
      </w:r>
      <w:r>
        <w:rPr>
          <w:rFonts w:ascii="Times New Roman" w:hAnsi="Times New Roman"/>
          <w:b w:val="0"/>
          <w:i/>
          <w:sz w:val="20"/>
          <w:u w:val="none"/>
        </w:rPr>
        <w:t>Flow</w:t>
      </w:r>
      <w:r>
        <w:rPr>
          <w:rFonts w:ascii="Times New Roman" w:hAnsi="Times New Roman"/>
          <w:b w:val="0"/>
          <w:i w:val="0"/>
          <w:sz w:val="20"/>
          <w:u w:val="none"/>
        </w:rPr>
        <w:t>, 2024. https://www.annecyfestival.com/about/archives/2024/award-winners/film-index%3Afilm-20243357 (accessed 1 September 2026).</w:t>
      </w:r>
    </w:p>
    <w:p>
      <w:pPr>
        <w:spacing w:before="0" w:after="20" w:line="240" w:lineRule="auto"/>
        <w:ind w:left="357" w:hanging="357"/>
        <w:jc w:val="both"/>
      </w:pPr>
      <w:r>
        <w:rPr>
          <w:rFonts w:ascii="Times New Roman" w:hAnsi="Times New Roman"/>
          <w:b w:val="0"/>
          <w:i w:val="0"/>
          <w:sz w:val="20"/>
          <w:u w:val="none"/>
        </w:rPr>
        <w:t>[10] Academy of Motion Picture Arts and Sciences, The 97th Academy Awards: Animated Feature Film, 2025. https://www.oscars.org/oscars/ceremonies/2025 (accessed 1 September 2026).</w:t>
      </w:r>
    </w:p>
    <w:p>
      <w:pPr>
        <w:spacing w:before="0" w:after="20" w:line="240" w:lineRule="auto"/>
        <w:ind w:left="357" w:hanging="357"/>
        <w:jc w:val="both"/>
      </w:pPr>
      <w:r>
        <w:rPr>
          <w:rFonts w:ascii="Times New Roman" w:hAnsi="Times New Roman"/>
          <w:b w:val="0"/>
          <w:i w:val="0"/>
          <w:sz w:val="20"/>
          <w:u w:val="none"/>
        </w:rPr>
        <w:t xml:space="preserve">[11] G. Zilbalodis, Making </w:t>
      </w:r>
      <w:r>
        <w:rPr>
          <w:rFonts w:ascii="Times New Roman" w:hAnsi="Times New Roman"/>
          <w:b w:val="0"/>
          <w:i/>
          <w:sz w:val="20"/>
          <w:u w:val="none"/>
        </w:rPr>
        <w:t>Flow</w:t>
      </w:r>
      <w:r>
        <w:rPr>
          <w:rFonts w:ascii="Times New Roman" w:hAnsi="Times New Roman"/>
          <w:b w:val="0"/>
          <w:i w:val="0"/>
          <w:sz w:val="20"/>
          <w:u w:val="none"/>
        </w:rPr>
        <w:t xml:space="preserve"> - interview with director Gints Zilbalodis, Blender Foundation, 22 January 2025. https://www.blender.org/user-stories/making-flow-an-interview-with-director-gints-zilbalodis/ (accessed 1 September 2026).</w:t>
      </w:r>
    </w:p>
    <w:p>
      <w:pPr>
        <w:spacing w:before="0" w:after="20" w:line="240" w:lineRule="auto"/>
        <w:ind w:left="357" w:hanging="357"/>
        <w:jc w:val="both"/>
      </w:pPr>
      <w:r>
        <w:rPr>
          <w:rFonts w:ascii="Times New Roman" w:hAnsi="Times New Roman"/>
          <w:b w:val="0"/>
          <w:i w:val="0"/>
          <w:sz w:val="20"/>
          <w:u w:val="none"/>
        </w:rPr>
        <w:t xml:space="preserve">[12] M. Dudok de Wit, </w:t>
      </w:r>
      <w:r>
        <w:rPr>
          <w:rFonts w:ascii="Times New Roman" w:hAnsi="Times New Roman"/>
          <w:b w:val="0"/>
          <w:i/>
          <w:sz w:val="20"/>
          <w:u w:val="none"/>
        </w:rPr>
        <w:t>The Red Turtle</w:t>
      </w:r>
      <w:r>
        <w:rPr>
          <w:rFonts w:ascii="Times New Roman" w:hAnsi="Times New Roman"/>
          <w:b w:val="0"/>
          <w:i w:val="0"/>
          <w:sz w:val="20"/>
          <w:u w:val="none"/>
        </w:rPr>
        <w:t>: the films that influenced Studio Ghibli's new animation, interview by S. Gilbey, British Film Institute, 26 May 2017. https://www.bfi.org.uk/interviews/red-turtle-studio-ghibli-michael-dudok-wit-influences (accessed 1 September 2026).</w:t>
      </w:r>
    </w:p>
    <w:p>
      <w:pPr>
        <w:spacing w:before="0" w:after="20" w:line="240" w:lineRule="auto"/>
        <w:ind w:left="357" w:hanging="357"/>
        <w:jc w:val="both"/>
      </w:pPr>
      <w:r>
        <w:rPr>
          <w:rFonts w:ascii="Times New Roman" w:hAnsi="Times New Roman"/>
          <w:b w:val="0"/>
          <w:i w:val="0"/>
          <w:sz w:val="20"/>
          <w:u w:val="none"/>
        </w:rPr>
        <w:t>[13] A.J. Ivakhiv, Ecologies of the Moving Image: Cinema, Affect, Nature, Wilfrid Laurier University Press, Waterloo, 2013.</w:t>
      </w:r>
    </w:p>
    <w:p>
      <w:pPr>
        <w:spacing w:before="0" w:after="20" w:line="240" w:lineRule="auto"/>
        <w:ind w:left="357" w:hanging="357"/>
        <w:jc w:val="both"/>
      </w:pPr>
      <w:r>
        <w:rPr>
          <w:rFonts w:ascii="Times New Roman" w:hAnsi="Times New Roman"/>
          <w:b w:val="0"/>
          <w:i w:val="0"/>
          <w:sz w:val="20"/>
          <w:u w:val="none"/>
        </w:rPr>
        <w:t>[14] S. MacDonald, Toward an eco-cinema, Interdisciplinary Studies in Literature and Environment 11 (2004) 107-132. https://doi.org/10.1093/isle/11.2.107.</w:t>
      </w:r>
    </w:p>
    <w:sectPr w:rsidR="00FC693F" w:rsidRPr="0006063C" w:rsidSect="00034616">
      <w:headerReference w:type="default" r:id="rId9"/>
      <w:headerReference w:type="even" r:id="rId10"/>
      <w:pgSz w:w="11906" w:h="16838"/>
      <w:pgMar w:top="1417" w:right="1417" w:bottom="1417" w:left="1417" w:header="425"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Times New Roman" w:hAnsi="Times New Roman"/>
        <w:b w:val="0"/>
        <w:i w:val="0"/>
        <w:sz w:val="18"/>
        <w:u w:val="none"/>
      </w:rPr>
      <w:t>AB/BA 2026 - Animation in Business/Business in Animation</w:t>
    </w:r>
  </w:p>
  <w:p>
    <w:pPr>
      <w:spacing w:before="0" w:after="0" w:line="240" w:lineRule="auto"/>
      <w:jc w:val="center"/>
    </w:pPr>
    <w:r>
      <w:rPr>
        <w:rFonts w:ascii="Times New Roman" w:hAnsi="Times New Roman"/>
        <w:b w:val="0"/>
        <w:i w:val="0"/>
        <w:sz w:val="18"/>
        <w:u w:val="none"/>
      </w:rPr>
      <w:t>20-22 September 2026 | Syros-Ermoupolis, Greece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Times New Roman" w:hAnsi="Times New Roman"/>
        <w:b w:val="0"/>
        <w:i w:val="0"/>
        <w:sz w:val="18"/>
        <w:u w:val="none"/>
      </w:rPr>
      <w:t>AB/BA 2026 - Animation in Business/Business in Animation</w:t>
    </w:r>
  </w:p>
  <w:p>
    <w:pPr>
      <w:spacing w:before="0" w:after="0" w:line="240" w:lineRule="auto"/>
      <w:jc w:val="center"/>
    </w:pPr>
    <w:r>
      <w:rPr>
        <w:rFonts w:ascii="Times New Roman" w:hAnsi="Times New Roman"/>
        <w:b w:val="0"/>
        <w:i w:val="0"/>
        <w:sz w:val="18"/>
        <w:u w:val="none"/>
      </w:rPr>
      <w:t>20-22 September 2026 | Syros-Ermoupolis, Greece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Silent Ecological Animation and Algorithmic Discoverability: Non-Verbal Storytelling, Audience Attention and Cultural Access amid Generative AI and Platform Culture</dc:title>
  <dc:subject>AB/BA 2026 Conference Paper</dc:subject>
  <dc:creator>Emre Altindag</dc:creator>
  <cp:keywords>silent animation; ecological animation; generative AI; algorithmic discoverability</cp:keywords>
  <dc:description>generated by python-docx</dc:description>
  <cp:lastModifiedBy/>
  <cp:revision>1</cp:revision>
  <dcterms:created xsi:type="dcterms:W3CDTF">2013-12-23T23:15:00Z</dcterms:created>
  <dcterms:modified xsi:type="dcterms:W3CDTF">2013-12-23T23:15:00Z</dcterms:modified>
  <cp:category/>
</cp:coreProperties>
</file>