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C05CB" w:rsidRDefault="00AC05CB" w:rsidP="00AC05CB">
      <w:pPr>
        <w:pStyle w:val="narrow-p"/>
        <w:shd w:val="clear" w:color="auto" w:fill="FFFFFF"/>
        <w:spacing w:before="0" w:beforeAutospacing="0" w:after="72" w:afterAutospacing="0"/>
        <w:rPr>
          <w:rFonts w:ascii="Roboto" w:hAnsi="Roboto"/>
          <w:color w:val="292929"/>
          <w:sz w:val="21"/>
          <w:szCs w:val="21"/>
        </w:rPr>
      </w:pPr>
      <w:r>
        <w:rPr>
          <w:rFonts w:ascii="Roboto" w:hAnsi="Roboto"/>
          <w:color w:val="292929"/>
          <w:sz w:val="21"/>
          <w:szCs w:val="21"/>
        </w:rPr>
        <w:t>Governing the Visible: Platform Culture, Child Audiences and Aesthetic Justice in Contemporary Animation</w:t>
      </w:r>
    </w:p>
    <w:p w:rsidR="00AC05CB" w:rsidRDefault="00AC05CB" w:rsidP="00AC05CB">
      <w:pPr>
        <w:pStyle w:val="grey-text"/>
        <w:shd w:val="clear" w:color="auto" w:fill="FFFFFF"/>
        <w:spacing w:before="0" w:beforeAutospacing="0" w:after="72" w:afterAutospacing="0" w:line="240" w:lineRule="atLeast"/>
        <w:rPr>
          <w:rFonts w:ascii="Roboto" w:hAnsi="Roboto"/>
          <w:color w:val="757575"/>
          <w:sz w:val="21"/>
          <w:szCs w:val="21"/>
        </w:rPr>
      </w:pPr>
      <w:r>
        <w:rPr>
          <w:rFonts w:ascii="Roboto" w:hAnsi="Roboto"/>
          <w:color w:val="757575"/>
          <w:sz w:val="21"/>
          <w:szCs w:val="21"/>
        </w:rPr>
        <w:t>Issue: Animation in Europe</w:t>
      </w:r>
    </w:p>
    <w:p w:rsidR="00AC05CB" w:rsidRDefault="00AC05CB" w:rsidP="00AC05CB">
      <w:pPr>
        <w:pStyle w:val="grey-text"/>
        <w:shd w:val="clear" w:color="auto" w:fill="FFFFFF"/>
        <w:spacing w:before="0" w:beforeAutospacing="0" w:after="72" w:afterAutospacing="0" w:line="240" w:lineRule="atLeast"/>
        <w:rPr>
          <w:rFonts w:ascii="Roboto" w:hAnsi="Roboto"/>
          <w:color w:val="757575"/>
          <w:sz w:val="21"/>
          <w:szCs w:val="21"/>
        </w:rPr>
      </w:pPr>
      <w:r>
        <w:rPr>
          <w:rFonts w:ascii="Roboto" w:hAnsi="Roboto"/>
          <w:color w:val="757575"/>
          <w:sz w:val="21"/>
          <w:szCs w:val="21"/>
        </w:rPr>
        <w:t>Author: Kıymet Dirican</w:t>
      </w:r>
    </w:p>
    <w:p w:rsidR="00286693" w:rsidRDefault="00286693"/>
    <w:p w:rsidR="00AC05CB" w:rsidRDefault="00AC05CB">
      <w:pPr>
        <w:rPr>
          <w:rFonts w:ascii="Roboto" w:hAnsi="Roboto"/>
          <w:color w:val="212529"/>
          <w:shd w:val="clear" w:color="auto" w:fill="FFFFFF"/>
        </w:rPr>
      </w:pPr>
      <w:hyperlink r:id="rId4" w:history="1">
        <w:r w:rsidRPr="006747A2">
          <w:rPr>
            <w:rStyle w:val="Hyperlink"/>
            <w:rFonts w:ascii="Roboto" w:hAnsi="Roboto"/>
            <w:shd w:val="clear" w:color="auto" w:fill="FFFFFF"/>
          </w:rPr>
          <w:t>k.dirican@hotmail.com</w:t>
        </w:r>
      </w:hyperlink>
    </w:p>
    <w:p w:rsidR="00AC05CB" w:rsidRDefault="00AC05CB">
      <w:pPr>
        <w:rPr>
          <w:rFonts w:ascii="Roboto" w:hAnsi="Roboto"/>
          <w:color w:val="212529"/>
          <w:shd w:val="clear" w:color="auto" w:fill="FFFFFF"/>
        </w:rPr>
      </w:pPr>
    </w:p>
    <w:p w:rsidR="00AC05CB" w:rsidRDefault="00AC05CB">
      <w:pPr>
        <w:rPr>
          <w:rFonts w:ascii="Roboto" w:hAnsi="Roboto"/>
          <w:color w:val="212529"/>
          <w:shd w:val="clear" w:color="auto" w:fill="FFFFFF"/>
        </w:rPr>
      </w:pPr>
    </w:p>
    <w:p w:rsidR="00AC05CB" w:rsidRPr="00BC43E7" w:rsidRDefault="00AC05CB" w:rsidP="00AC05CB">
      <w:pPr>
        <w:jc w:val="center"/>
        <w:rPr>
          <w:b/>
          <w:bCs/>
        </w:rPr>
      </w:pPr>
      <w:r w:rsidRPr="00BC43E7">
        <w:rPr>
          <w:b/>
          <w:bCs/>
        </w:rPr>
        <w:t>Governing the Visible: Platform Culture, Child Audiences and Aesthetic Justice in Contemporary Animation</w:t>
      </w:r>
    </w:p>
    <w:p w:rsidR="00AC05CB" w:rsidRDefault="00AC05CB" w:rsidP="00AC05CB">
      <w:pPr>
        <w:jc w:val="both"/>
      </w:pPr>
    </w:p>
    <w:p w:rsidR="00AC05CB" w:rsidRPr="00BC43E7" w:rsidRDefault="00AC05CB" w:rsidP="00AC05CB">
      <w:pPr>
        <w:jc w:val="both"/>
        <w:rPr>
          <w:b/>
          <w:bCs/>
        </w:rPr>
      </w:pPr>
      <w:r w:rsidRPr="00BC43E7">
        <w:rPr>
          <w:b/>
          <w:bCs/>
        </w:rPr>
        <w:t>Abstract</w:t>
      </w:r>
    </w:p>
    <w:p w:rsidR="00AC05CB" w:rsidRDefault="00AC05CB" w:rsidP="00AC05CB">
      <w:pPr>
        <w:jc w:val="both"/>
      </w:pPr>
    </w:p>
    <w:p w:rsidR="00AC05CB" w:rsidRDefault="00AC05CB" w:rsidP="00AC05CB">
      <w:pPr>
        <w:jc w:val="both"/>
      </w:pPr>
      <w:r>
        <w:t>This study conceptualises contemporary animation as a field of aesthetic governance and examines, from a critical perspective, the visibility policies established by digital streaming platforms regarding their child audiences. The argument that animation functions as an aesthetic apparatus regulating bodies, emotions and identities from an early age, far from being merely an innocent form of entertainment, forms the starting point of this study. This approach reinterprets animation as a political field by making visible the link between visual form and administrative infrastructure.</w:t>
      </w:r>
    </w:p>
    <w:p w:rsidR="00AC05CB" w:rsidRDefault="00AC05CB" w:rsidP="00AC05CB">
      <w:pPr>
        <w:jc w:val="both"/>
      </w:pPr>
    </w:p>
    <w:p w:rsidR="00AC05CB" w:rsidRDefault="00AC05CB" w:rsidP="00AC05CB">
      <w:pPr>
        <w:jc w:val="both"/>
      </w:pPr>
      <w:r>
        <w:t>The algorithmic recommendation systems, content curation and classification hierarchies of streaming platforms reinforce specific aesthetic norms regarding childhood. In this process, which bodies, which emotions and which cultural codes are made visible becomes a direct matter of power. Platform capitalism, whilst shaping aesthetic preferences, simultaneously positions child subjectivities as data subjects from an early age; thus, visibility emerges as a form of regulation that is both aesthetic and economic.</w:t>
      </w:r>
    </w:p>
    <w:p w:rsidR="00AC05CB" w:rsidRDefault="00AC05CB" w:rsidP="00AC05CB">
      <w:pPr>
        <w:jc w:val="both"/>
      </w:pPr>
    </w:p>
    <w:p w:rsidR="00AC05CB" w:rsidRDefault="00AC05CB" w:rsidP="00AC05CB">
      <w:pPr>
        <w:jc w:val="both"/>
      </w:pPr>
      <w:r>
        <w:t>The theoretical framework brings together Walter Benjamin’s concept of aura, Michel Foucault’s analytics of governmentality, and contemporary studies of platforms. Proposals regarding bodily vulnerability by Judith Butler, cruel optimism by Lauren Berlant, and Sara Ahmed’s theories of affective politics are employed to analyse how the child viewer is situated within affective economies. Rosi Braidotti’s conception of nomadic subjectivity and Karen Barad’s approach to agential realism, meanwhile, enable an understanding of the material entanglements between image, device and body. This theoretical constellation ensures that regimes of visibility are treated not merely as a technical issue, but as an ethical and political one.</w:t>
      </w:r>
    </w:p>
    <w:p w:rsidR="00AC05CB" w:rsidRDefault="00AC05CB" w:rsidP="00AC05CB">
      <w:pPr>
        <w:jc w:val="both"/>
      </w:pPr>
    </w:p>
    <w:p w:rsidR="00AC05CB" w:rsidRDefault="00AC05CB" w:rsidP="00AC05CB">
      <w:pPr>
        <w:jc w:val="both"/>
      </w:pPr>
      <w:r>
        <w:t>The study conducts a critical analysis of visual culture through examples selected from recent animated productions, interpreting this analysis in conjunction with platforms’ interface design, labelling practices and age rating systems. The connection between aesthetic form and administrative infrastructure is illustrated through concrete examples; thus, the theoretical argument is grounded in empirical evidence. The study traces how visibility is produced across all stages, from production to distribution.</w:t>
      </w:r>
    </w:p>
    <w:p w:rsidR="00AC05CB" w:rsidRDefault="00AC05CB" w:rsidP="00AC05CB">
      <w:pPr>
        <w:jc w:val="both"/>
      </w:pPr>
    </w:p>
    <w:p w:rsidR="00AC05CB" w:rsidRDefault="00AC05CB" w:rsidP="00AC05CB">
      <w:pPr>
        <w:jc w:val="both"/>
      </w:pPr>
      <w:r>
        <w:t xml:space="preserve">The study’s original contribution lies in rethinking the concept of aesthetic governance at the intersection of animation and platform culture, and in shifting the child viewer from a passive </w:t>
      </w:r>
      <w:r>
        <w:lastRenderedPageBreak/>
        <w:t>recipient to the centre of discussions on aesthetic justice. By demonstrating how visibility policies frame cultural imaginaries of childhood, this approach proposes a fruitful intersection between visual culture theory, platform studies and feminist aesthetics. Consequently, the study argues that contemporary animation operates as a field of power where the sensory order, emotional education and aesthetic norms are established at an early age, and contends that critically mapping this field offers the possibility of re-establishing the connection between childhood, visibility and justice.</w:t>
      </w:r>
    </w:p>
    <w:p w:rsidR="00AC05CB" w:rsidRDefault="00AC05CB" w:rsidP="00AC05CB">
      <w:pPr>
        <w:jc w:val="both"/>
      </w:pPr>
    </w:p>
    <w:p w:rsidR="00AC05CB" w:rsidRDefault="00AC05CB" w:rsidP="00AC05CB">
      <w:pPr>
        <w:jc w:val="both"/>
      </w:pPr>
      <w:r w:rsidRPr="00BC43E7">
        <w:rPr>
          <w:b/>
          <w:bCs/>
        </w:rPr>
        <w:t>Keywords</w:t>
      </w:r>
      <w:r>
        <w:t>: aesthetic governance, platform culture, child audience, visibility policies, contemporary animation, feminist aesthetics</w:t>
      </w:r>
    </w:p>
    <w:p w:rsidR="00AC05CB" w:rsidRDefault="00AC05CB" w:rsidP="00AC05CB">
      <w:pPr>
        <w:jc w:val="both"/>
      </w:pPr>
    </w:p>
    <w:p w:rsidR="00AC05CB" w:rsidRDefault="00AC05CB" w:rsidP="00AC05CB">
      <w:pPr>
        <w:jc w:val="both"/>
      </w:pPr>
    </w:p>
    <w:p w:rsidR="00AC05CB" w:rsidRDefault="00AC05CB"/>
    <w:sectPr w:rsidR="00AC05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5CB"/>
    <w:rsid w:val="00286693"/>
    <w:rsid w:val="00AC05CB"/>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6FB39"/>
  <w15:chartTrackingRefBased/>
  <w15:docId w15:val="{1064CE94-DB84-6E40-847C-DB8ACBBC3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rrow-p">
    <w:name w:val="narrow-p"/>
    <w:basedOn w:val="Normal"/>
    <w:rsid w:val="00AC05CB"/>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grey-text">
    <w:name w:val="grey-text"/>
    <w:basedOn w:val="Normal"/>
    <w:rsid w:val="00AC05CB"/>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AC05CB"/>
    <w:rPr>
      <w:color w:val="0563C1" w:themeColor="hyperlink"/>
      <w:u w:val="single"/>
    </w:rPr>
  </w:style>
  <w:style w:type="character" w:styleId="UnresolvedMention">
    <w:name w:val="Unresolved Mention"/>
    <w:basedOn w:val="DefaultParagraphFont"/>
    <w:uiPriority w:val="99"/>
    <w:semiHidden/>
    <w:unhideWhenUsed/>
    <w:rsid w:val="00AC05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36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dirican@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540</Words>
  <Characters>3081</Characters>
  <Application>Microsoft Office Word</Application>
  <DocSecurity>0</DocSecurity>
  <Lines>25</Lines>
  <Paragraphs>7</Paragraphs>
  <ScaleCrop>false</ScaleCrop>
  <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Angeliki</dc:creator>
  <cp:keywords/>
  <dc:description/>
  <cp:lastModifiedBy>Angeliki</cp:lastModifiedBy>
  <cp:revision>1</cp:revision>
  <dcterms:created xsi:type="dcterms:W3CDTF">2026-05-27T08:48:00Z</dcterms:created>
  <dcterms:modified xsi:type="dcterms:W3CDTF">2026-05-27T08:49:00Z</dcterms:modified>
</cp:coreProperties>
</file>