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F5486" w:rsidRDefault="00000000">
      <w:pPr>
        <w:spacing w:after="0" w:line="480" w:lineRule="auto"/>
        <w:jc w:val="both"/>
        <w:rPr>
          <w:rFonts w:ascii="Times New Roman" w:eastAsia="Times New Roman" w:hAnsi="Times New Roman" w:cs="Times New Roman"/>
          <w:b/>
          <w:bCs/>
        </w:rPr>
      </w:pPr>
      <w:r>
        <w:rPr>
          <w:rFonts w:ascii="Times New Roman" w:eastAsia="Times New Roman" w:hAnsi="Times New Roman" w:cs="Times New Roman"/>
          <w:b/>
          <w:bCs/>
        </w:rPr>
        <w:t>Animating Visibility: Algorithmic Discoverability and Gendered Inequalities in the Platformization of Animation</w:t>
      </w:r>
    </w:p>
    <w:p w14:paraId="00000002" w14:textId="77777777" w:rsidR="002F5486" w:rsidRDefault="00000000">
      <w:pPr>
        <w:spacing w:after="0" w:line="480" w:lineRule="auto"/>
        <w:jc w:val="both"/>
        <w:rPr>
          <w:rFonts w:ascii="Times New Roman" w:eastAsia="Times New Roman" w:hAnsi="Times New Roman" w:cs="Times New Roman"/>
          <w:b/>
          <w:bCs/>
        </w:rPr>
      </w:pPr>
      <w:r>
        <w:rPr>
          <w:rFonts w:ascii="Times New Roman" w:eastAsia="Times New Roman" w:hAnsi="Times New Roman" w:cs="Times New Roman"/>
          <w:b/>
          <w:bCs/>
        </w:rPr>
        <w:t>Abstract</w:t>
      </w:r>
    </w:p>
    <w:p w14:paraId="00000003" w14:textId="77777777" w:rsidR="002F5486" w:rsidRDefault="00000000">
      <w:pPr>
        <w:pBdr>
          <w:top w:val="nil"/>
          <w:left w:val="nil"/>
          <w:bottom w:val="nil"/>
          <w:right w:val="nil"/>
          <w:between w:val="nil"/>
        </w:pBdr>
        <w:spacing w:before="280" w:after="28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This article examines animation as a platform-mediated cultural form shaped by the intersection of algorithmic governance, gendered visibility regimes and audience practices. Moving beyond aesthetic and industry-centered perspectives, the study conceptualizes animation as a strategic site where creativity, technology and platform infrastructures converge to structure not only production and distribution, but also the conditions under which cultural content becomes visible and discoverable.</w:t>
      </w:r>
    </w:p>
    <w:p w14:paraId="00000004" w14:textId="77777777" w:rsidR="002F5486" w:rsidRDefault="00000000">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Drawing on the frameworks of platformization (Poell, Nieborg &amp; van Dijck, 2019), algorithmic culture (Striphas, 2015) and affective publics (Papacharissi, 2015), the article analyzes how animated audiovisual content circulates across major digital platforms, including subscription-based streaming services (e.g. Netflix), video-sharing platforms (e.g. YouTube) and short-form social media environments (e.g. TikTok). In these saturated ecosystems, discoverability is increasingly mediated by algorithmic systems that filter, rank and recommend content, shaping audience attention and cultural value within platformized cultural economies.</w:t>
      </w:r>
    </w:p>
    <w:p w14:paraId="00000005" w14:textId="77777777" w:rsidR="002F5486" w:rsidRDefault="00000000">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article pays particular attention to gendered inequalities, examining how women creators and gender-diverse narratives encounter structural constraints in terms of access, circulation and recognition. Rather than assuming that digital platforms democratize visibility, the study argues that platform logics reproduce and intensify existing asymmetries by privileging commercially viable content, established production networks and data-driven engagement metrics (van Dijck, Poell &amp; de Waal, 2018). It further situates these dynamics within Latin </w:t>
      </w:r>
      <w:r>
        <w:rPr>
          <w:rFonts w:ascii="Times New Roman" w:eastAsia="Times New Roman" w:hAnsi="Times New Roman" w:cs="Times New Roman"/>
          <w:color w:val="000000"/>
        </w:rPr>
        <w:lastRenderedPageBreak/>
        <w:t>American animation ecosystems, highlighting the uneven conditions under which content from the Global South becomes visible in transnational platform environments.</w:t>
      </w:r>
    </w:p>
    <w:p w14:paraId="00000006" w14:textId="77777777" w:rsidR="002F5486" w:rsidRDefault="00000000">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Methodologically, the research adopts a qualitative approach combining discourse analysis and digital observation of animated content across selected platforms. It focuses on platform interfaces, recommendation systems, paratextual elements and audience engagement practices to identify how visibility is constructed, negotiated and constrained.</w:t>
      </w:r>
    </w:p>
    <w:p w14:paraId="00000007" w14:textId="77777777" w:rsidR="002F5486" w:rsidRDefault="00000000">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article argues that animation operates within platformized cultural economies that simultaneously expand access while imposing algorithmic hierarchies that govern discoverability. By foregrounding gender as a structural axis of inequality, it demonstrates how platform infrastructures shape not only what content circulates, but whose creative labor and narratives are rendered visible. The study contributes to debates in media and cultural politics by reframing discoverability as a socio-technical and political problem, positioning animation as a key site for understanding the entanglement of platformization, cultural production and inequality in the digital era.</w:t>
      </w:r>
    </w:p>
    <w:p w14:paraId="00000008" w14:textId="77777777" w:rsidR="002F5486" w:rsidRDefault="00000000">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Keywords</w:t>
      </w:r>
    </w:p>
    <w:p w14:paraId="00000009" w14:textId="77777777" w:rsidR="002F5486" w:rsidRDefault="00000000">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Animation; Platformization; Algorithmic discoverability; Algorithmic culture; Gender inequality; Digital visibility; Cultural industries; Global South; Streaming platforms; Audience engagement</w:t>
      </w:r>
    </w:p>
    <w:p w14:paraId="0000000A" w14:textId="77777777" w:rsidR="002F5486" w:rsidRDefault="002F5486">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0B" w14:textId="77777777" w:rsidR="002F5486" w:rsidRDefault="002F5486">
      <w:pPr>
        <w:spacing w:after="0" w:line="480" w:lineRule="auto"/>
        <w:jc w:val="both"/>
        <w:rPr>
          <w:rFonts w:ascii="Times New Roman" w:eastAsia="Times New Roman" w:hAnsi="Times New Roman" w:cs="Times New Roman"/>
          <w:b/>
          <w:bCs/>
        </w:rPr>
      </w:pPr>
    </w:p>
    <w:p w14:paraId="0000000C" w14:textId="77777777" w:rsidR="002F5486" w:rsidRDefault="00000000">
      <w:pPr>
        <w:spacing w:after="0" w:line="480" w:lineRule="auto"/>
        <w:jc w:val="both"/>
        <w:rPr>
          <w:rFonts w:ascii="Times New Roman" w:eastAsia="Times New Roman" w:hAnsi="Times New Roman" w:cs="Times New Roman"/>
          <w:b/>
          <w:bCs/>
        </w:rPr>
      </w:pPr>
      <w:r>
        <w:rPr>
          <w:rFonts w:ascii="Times New Roman" w:eastAsia="Times New Roman" w:hAnsi="Times New Roman" w:cs="Times New Roman"/>
          <w:b/>
          <w:bCs/>
        </w:rPr>
        <w:t>References</w:t>
      </w:r>
    </w:p>
    <w:p w14:paraId="0000000D" w14:textId="77777777" w:rsidR="002F548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Papacharissi, Zizi. (2015). </w:t>
      </w:r>
      <w:r>
        <w:rPr>
          <w:rFonts w:ascii="Times New Roman" w:eastAsia="Times New Roman" w:hAnsi="Times New Roman" w:cs="Times New Roman"/>
          <w:i/>
          <w:iCs/>
        </w:rPr>
        <w:t>Affective publics: Sentiment, technology, and politics</w:t>
      </w:r>
      <w:r>
        <w:rPr>
          <w:rFonts w:ascii="Times New Roman" w:eastAsia="Times New Roman" w:hAnsi="Times New Roman" w:cs="Times New Roman"/>
        </w:rPr>
        <w:t xml:space="preserve">. Oxford University Press. </w:t>
      </w:r>
    </w:p>
    <w:p w14:paraId="0000000E" w14:textId="77777777" w:rsidR="002F5486" w:rsidRDefault="002F5486">
      <w:pPr>
        <w:spacing w:after="0" w:line="240" w:lineRule="auto"/>
        <w:rPr>
          <w:rFonts w:ascii="Times New Roman" w:eastAsia="Times New Roman" w:hAnsi="Times New Roman" w:cs="Times New Roman"/>
        </w:rPr>
      </w:pPr>
    </w:p>
    <w:p w14:paraId="0000000F" w14:textId="77777777" w:rsidR="002F548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Poell, Thomas, Nieborg, David B., &amp; van Dijck, José. (2019). Platformisation. </w:t>
      </w:r>
      <w:r>
        <w:rPr>
          <w:rFonts w:ascii="Times New Roman" w:eastAsia="Times New Roman" w:hAnsi="Times New Roman" w:cs="Times New Roman"/>
          <w:i/>
          <w:iCs/>
        </w:rPr>
        <w:t>Internet Policy Review</w:t>
      </w:r>
      <w:r>
        <w:rPr>
          <w:rFonts w:ascii="Times New Roman" w:eastAsia="Times New Roman" w:hAnsi="Times New Roman" w:cs="Times New Roman"/>
        </w:rPr>
        <w:t xml:space="preserve">, 8(4). </w:t>
      </w:r>
      <w:hyperlink r:id="rId5">
        <w:r>
          <w:rPr>
            <w:rFonts w:ascii="Times New Roman" w:eastAsia="Times New Roman" w:hAnsi="Times New Roman" w:cs="Times New Roman"/>
            <w:color w:val="0000FF"/>
            <w:u w:val="single"/>
          </w:rPr>
          <w:t>https://doi.org/10.14763/2019.4.1425</w:t>
        </w:r>
      </w:hyperlink>
      <w:r>
        <w:rPr>
          <w:rFonts w:ascii="Times New Roman" w:eastAsia="Times New Roman" w:hAnsi="Times New Roman" w:cs="Times New Roman"/>
        </w:rPr>
        <w:t xml:space="preserve"> </w:t>
      </w:r>
    </w:p>
    <w:p w14:paraId="00000010" w14:textId="77777777" w:rsidR="002F5486" w:rsidRDefault="002F5486">
      <w:pPr>
        <w:spacing w:after="0" w:line="240" w:lineRule="auto"/>
        <w:rPr>
          <w:rFonts w:ascii="Times New Roman" w:eastAsia="Times New Roman" w:hAnsi="Times New Roman" w:cs="Times New Roman"/>
        </w:rPr>
      </w:pPr>
    </w:p>
    <w:p w14:paraId="00000011" w14:textId="77777777" w:rsidR="002F548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Striphas, Ted. (2015). Algorithmic culture. </w:t>
      </w:r>
      <w:r>
        <w:rPr>
          <w:rFonts w:ascii="Times New Roman" w:eastAsia="Times New Roman" w:hAnsi="Times New Roman" w:cs="Times New Roman"/>
          <w:i/>
          <w:iCs/>
        </w:rPr>
        <w:t>European Journal of Cultural Studies</w:t>
      </w:r>
      <w:r>
        <w:rPr>
          <w:rFonts w:ascii="Times New Roman" w:eastAsia="Times New Roman" w:hAnsi="Times New Roman" w:cs="Times New Roman"/>
        </w:rPr>
        <w:t xml:space="preserve">, 18(4–5), 395–412. </w:t>
      </w:r>
      <w:hyperlink r:id="rId6">
        <w:r>
          <w:rPr>
            <w:rFonts w:ascii="Times New Roman" w:eastAsia="Times New Roman" w:hAnsi="Times New Roman" w:cs="Times New Roman"/>
            <w:color w:val="0000FF"/>
            <w:u w:val="single"/>
          </w:rPr>
          <w:t>https://doi.org/10.1177/1367549415577392</w:t>
        </w:r>
      </w:hyperlink>
      <w:r>
        <w:rPr>
          <w:rFonts w:ascii="Times New Roman" w:eastAsia="Times New Roman" w:hAnsi="Times New Roman" w:cs="Times New Roman"/>
        </w:rPr>
        <w:t xml:space="preserve"> </w:t>
      </w:r>
    </w:p>
    <w:p w14:paraId="00000012" w14:textId="77777777" w:rsidR="002F5486" w:rsidRDefault="002F5486">
      <w:pPr>
        <w:rPr>
          <w:rFonts w:ascii="Times New Roman" w:eastAsia="Times New Roman" w:hAnsi="Times New Roman" w:cs="Times New Roman"/>
        </w:rPr>
      </w:pPr>
    </w:p>
    <w:p w14:paraId="00000013" w14:textId="77777777" w:rsidR="002F5486" w:rsidRDefault="00000000">
      <w:pPr>
        <w:rPr>
          <w:rFonts w:ascii="Times New Roman" w:eastAsia="Times New Roman" w:hAnsi="Times New Roman" w:cs="Times New Roman"/>
        </w:rPr>
      </w:pPr>
      <w:r>
        <w:rPr>
          <w:rFonts w:ascii="Times New Roman" w:eastAsia="Times New Roman" w:hAnsi="Times New Roman" w:cs="Times New Roman"/>
        </w:rPr>
        <w:t xml:space="preserve">van Dijck, José, Poell, Thomas, &amp; de Waal, Martijn. (2018). </w:t>
      </w:r>
      <w:r>
        <w:rPr>
          <w:rFonts w:ascii="Times New Roman" w:eastAsia="Times New Roman" w:hAnsi="Times New Roman" w:cs="Times New Roman"/>
          <w:i/>
          <w:iCs/>
        </w:rPr>
        <w:t>The platform society</w:t>
      </w:r>
      <w:r>
        <w:rPr>
          <w:rFonts w:ascii="Times New Roman" w:eastAsia="Times New Roman" w:hAnsi="Times New Roman" w:cs="Times New Roman"/>
        </w:rPr>
        <w:t>. Oxford University Press.</w:t>
      </w:r>
    </w:p>
    <w:p w14:paraId="1B5E4279" w14:textId="77777777" w:rsidR="00D31E06" w:rsidRDefault="00D31E06">
      <w:pPr>
        <w:rPr>
          <w:rFonts w:ascii="Times New Roman" w:eastAsia="Times New Roman" w:hAnsi="Times New Roman" w:cs="Times New Roman"/>
        </w:rPr>
      </w:pPr>
    </w:p>
    <w:p w14:paraId="5C2615EC" w14:textId="77777777" w:rsidR="00D31E06" w:rsidRDefault="00D31E06">
      <w:pPr>
        <w:rPr>
          <w:rFonts w:ascii="Times New Roman" w:eastAsia="Times New Roman" w:hAnsi="Times New Roman" w:cs="Times New Roman"/>
        </w:rPr>
      </w:pPr>
    </w:p>
    <w:tbl>
      <w:tblPr>
        <w:tblW w:w="10096" w:type="dxa"/>
        <w:shd w:val="clear" w:color="auto" w:fill="FFFFFF"/>
        <w:tblCellMar>
          <w:top w:w="15" w:type="dxa"/>
          <w:left w:w="15" w:type="dxa"/>
          <w:bottom w:w="15" w:type="dxa"/>
          <w:right w:w="15" w:type="dxa"/>
        </w:tblCellMar>
        <w:tblLook w:val="04A0" w:firstRow="1" w:lastRow="0" w:firstColumn="1" w:lastColumn="0" w:noHBand="0" w:noVBand="1"/>
      </w:tblPr>
      <w:tblGrid>
        <w:gridCol w:w="253"/>
        <w:gridCol w:w="2937"/>
        <w:gridCol w:w="2870"/>
        <w:gridCol w:w="3926"/>
        <w:gridCol w:w="55"/>
        <w:gridCol w:w="55"/>
      </w:tblGrid>
      <w:tr w:rsidR="00D31E06" w:rsidRPr="00D31E06" w14:paraId="59528D65" w14:textId="77777777" w:rsidTr="00D31E06">
        <w:trPr>
          <w:gridAfter w:val="2"/>
        </w:trPr>
        <w:tc>
          <w:tcPr>
            <w:tcW w:w="0" w:type="auto"/>
            <w:tcBorders>
              <w:top w:val="nil"/>
              <w:left w:val="nil"/>
              <w:bottom w:val="nil"/>
              <w:right w:val="nil"/>
            </w:tcBorders>
            <w:shd w:val="clear" w:color="auto" w:fill="FFFFFF"/>
            <w:hideMark/>
          </w:tcPr>
          <w:p w14:paraId="652EA6C5"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1</w:t>
            </w:r>
          </w:p>
        </w:tc>
        <w:tc>
          <w:tcPr>
            <w:tcW w:w="0" w:type="auto"/>
            <w:tcBorders>
              <w:top w:val="nil"/>
              <w:left w:val="nil"/>
              <w:bottom w:val="nil"/>
              <w:right w:val="nil"/>
            </w:tcBorders>
            <w:shd w:val="clear" w:color="auto" w:fill="FFFFFF"/>
            <w:hideMark/>
          </w:tcPr>
          <w:p w14:paraId="49C0BA5E"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María del Carmen</w:t>
            </w:r>
          </w:p>
        </w:tc>
        <w:tc>
          <w:tcPr>
            <w:tcW w:w="0" w:type="auto"/>
            <w:tcBorders>
              <w:top w:val="nil"/>
              <w:left w:val="nil"/>
              <w:bottom w:val="nil"/>
              <w:right w:val="nil"/>
            </w:tcBorders>
            <w:shd w:val="clear" w:color="auto" w:fill="FFFFFF"/>
            <w:hideMark/>
          </w:tcPr>
          <w:p w14:paraId="01BA8A15"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Camacho-Gómez</w:t>
            </w:r>
          </w:p>
        </w:tc>
        <w:tc>
          <w:tcPr>
            <w:tcW w:w="0" w:type="auto"/>
            <w:tcBorders>
              <w:top w:val="nil"/>
              <w:left w:val="nil"/>
              <w:bottom w:val="nil"/>
              <w:right w:val="nil"/>
            </w:tcBorders>
            <w:shd w:val="clear" w:color="auto" w:fill="FFFFFF"/>
            <w:hideMark/>
          </w:tcPr>
          <w:p w14:paraId="6C500A9D"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mcamacho@up.edu.mx</w:t>
            </w:r>
          </w:p>
        </w:tc>
      </w:tr>
      <w:tr w:rsidR="00D31E06" w:rsidRPr="00D31E06" w14:paraId="03C0761F" w14:textId="77777777" w:rsidTr="00D31E06">
        <w:trPr>
          <w:gridAfter w:val="2"/>
        </w:trPr>
        <w:tc>
          <w:tcPr>
            <w:tcW w:w="0" w:type="auto"/>
            <w:tcBorders>
              <w:top w:val="nil"/>
              <w:left w:val="nil"/>
              <w:bottom w:val="nil"/>
              <w:right w:val="nil"/>
            </w:tcBorders>
            <w:shd w:val="clear" w:color="auto" w:fill="FFFFFF"/>
            <w:hideMark/>
          </w:tcPr>
          <w:p w14:paraId="4F074E8E"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2</w:t>
            </w:r>
          </w:p>
        </w:tc>
        <w:tc>
          <w:tcPr>
            <w:tcW w:w="0" w:type="auto"/>
            <w:tcBorders>
              <w:top w:val="nil"/>
              <w:left w:val="nil"/>
              <w:bottom w:val="nil"/>
              <w:right w:val="nil"/>
            </w:tcBorders>
            <w:shd w:val="clear" w:color="auto" w:fill="FFFFFF"/>
            <w:hideMark/>
          </w:tcPr>
          <w:p w14:paraId="665D88E2"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Alma Delia</w:t>
            </w:r>
          </w:p>
        </w:tc>
        <w:tc>
          <w:tcPr>
            <w:tcW w:w="0" w:type="auto"/>
            <w:tcBorders>
              <w:top w:val="nil"/>
              <w:left w:val="nil"/>
              <w:bottom w:val="nil"/>
              <w:right w:val="nil"/>
            </w:tcBorders>
            <w:shd w:val="clear" w:color="auto" w:fill="FFFFFF"/>
            <w:hideMark/>
          </w:tcPr>
          <w:p w14:paraId="2D592423"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Zamorano-Rojas</w:t>
            </w:r>
          </w:p>
        </w:tc>
        <w:tc>
          <w:tcPr>
            <w:tcW w:w="0" w:type="auto"/>
            <w:tcBorders>
              <w:top w:val="nil"/>
              <w:left w:val="nil"/>
              <w:bottom w:val="nil"/>
              <w:right w:val="nil"/>
            </w:tcBorders>
            <w:shd w:val="clear" w:color="auto" w:fill="FFFFFF"/>
            <w:hideMark/>
          </w:tcPr>
          <w:p w14:paraId="4FCC2AFB"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azamoran@up.edu.mx</w:t>
            </w:r>
          </w:p>
        </w:tc>
      </w:tr>
      <w:tr w:rsidR="00D31E06" w:rsidRPr="00D31E06" w14:paraId="24C60DF4" w14:textId="77777777" w:rsidTr="00D31E06">
        <w:tc>
          <w:tcPr>
            <w:tcW w:w="0" w:type="auto"/>
            <w:tcBorders>
              <w:top w:val="nil"/>
              <w:left w:val="nil"/>
              <w:bottom w:val="nil"/>
              <w:right w:val="nil"/>
            </w:tcBorders>
            <w:shd w:val="clear" w:color="auto" w:fill="FFFFFF"/>
            <w:hideMark/>
          </w:tcPr>
          <w:p w14:paraId="098025E2"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3</w:t>
            </w:r>
          </w:p>
        </w:tc>
        <w:tc>
          <w:tcPr>
            <w:tcW w:w="0" w:type="auto"/>
            <w:tcBorders>
              <w:top w:val="nil"/>
              <w:left w:val="nil"/>
              <w:bottom w:val="nil"/>
              <w:right w:val="nil"/>
            </w:tcBorders>
            <w:shd w:val="clear" w:color="auto" w:fill="FFFFFF"/>
            <w:hideMark/>
          </w:tcPr>
          <w:p w14:paraId="1439FF6F"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Claudia Ivett</w:t>
            </w:r>
          </w:p>
        </w:tc>
        <w:tc>
          <w:tcPr>
            <w:tcW w:w="0" w:type="auto"/>
            <w:tcBorders>
              <w:top w:val="nil"/>
              <w:left w:val="nil"/>
              <w:bottom w:val="nil"/>
              <w:right w:val="nil"/>
            </w:tcBorders>
            <w:shd w:val="clear" w:color="auto" w:fill="FFFFFF"/>
            <w:hideMark/>
          </w:tcPr>
          <w:p w14:paraId="1008FEDF"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Romero-Delgado</w:t>
            </w:r>
          </w:p>
        </w:tc>
        <w:tc>
          <w:tcPr>
            <w:tcW w:w="0" w:type="auto"/>
            <w:tcBorders>
              <w:top w:val="nil"/>
              <w:left w:val="nil"/>
              <w:bottom w:val="nil"/>
              <w:right w:val="nil"/>
            </w:tcBorders>
            <w:shd w:val="clear" w:color="auto" w:fill="FFFFFF"/>
            <w:hideMark/>
          </w:tcPr>
          <w:p w14:paraId="442677AB" w14:textId="77777777" w:rsidR="00D31E06" w:rsidRPr="00D31E06" w:rsidRDefault="00D31E06" w:rsidP="00D31E06">
            <w:pPr>
              <w:spacing w:after="0" w:line="240" w:lineRule="auto"/>
              <w:rPr>
                <w:rFonts w:ascii="Roboto" w:eastAsia="Times New Roman" w:hAnsi="Roboto" w:cs="Times New Roman"/>
                <w:color w:val="212529"/>
                <w:lang w:val="en-AT"/>
              </w:rPr>
            </w:pPr>
            <w:r w:rsidRPr="00D31E06">
              <w:rPr>
                <w:rFonts w:ascii="Roboto" w:eastAsia="Times New Roman" w:hAnsi="Roboto" w:cs="Times New Roman"/>
                <w:color w:val="212529"/>
                <w:lang w:val="en-AT"/>
              </w:rPr>
              <w:t>cromero@up.edu.mx</w:t>
            </w:r>
          </w:p>
        </w:tc>
        <w:tc>
          <w:tcPr>
            <w:tcW w:w="0" w:type="auto"/>
            <w:shd w:val="clear" w:color="auto" w:fill="FFFFFF"/>
            <w:vAlign w:val="center"/>
            <w:hideMark/>
          </w:tcPr>
          <w:p w14:paraId="12C9BFFA" w14:textId="77777777" w:rsidR="00D31E06" w:rsidRPr="00D31E06" w:rsidRDefault="00D31E06" w:rsidP="00D31E06">
            <w:pPr>
              <w:spacing w:after="0" w:line="240" w:lineRule="auto"/>
              <w:rPr>
                <w:rFonts w:ascii="Times New Roman" w:eastAsia="Times New Roman" w:hAnsi="Times New Roman" w:cs="Times New Roman"/>
                <w:sz w:val="20"/>
                <w:szCs w:val="20"/>
                <w:lang w:val="en-AT"/>
              </w:rPr>
            </w:pPr>
          </w:p>
        </w:tc>
        <w:tc>
          <w:tcPr>
            <w:tcW w:w="0" w:type="auto"/>
            <w:shd w:val="clear" w:color="auto" w:fill="FFFFFF"/>
            <w:vAlign w:val="center"/>
            <w:hideMark/>
          </w:tcPr>
          <w:p w14:paraId="60D6A007" w14:textId="77777777" w:rsidR="00D31E06" w:rsidRPr="00D31E06" w:rsidRDefault="00D31E06" w:rsidP="00D31E06">
            <w:pPr>
              <w:spacing w:after="0" w:line="240" w:lineRule="auto"/>
              <w:rPr>
                <w:rFonts w:ascii="Times New Roman" w:eastAsia="Times New Roman" w:hAnsi="Times New Roman" w:cs="Times New Roman"/>
                <w:sz w:val="20"/>
                <w:szCs w:val="20"/>
                <w:lang w:val="en-AT"/>
              </w:rPr>
            </w:pPr>
          </w:p>
        </w:tc>
      </w:tr>
    </w:tbl>
    <w:p w14:paraId="4ADE5B88" w14:textId="77777777" w:rsidR="00D31E06" w:rsidRDefault="00D31E06"/>
    <w:sectPr w:rsidR="00D31E06">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embedRegular r:id="rId1" w:fontKey="{9A248756-ED50-2942-8725-83926F561352}"/>
    <w:embedItalic r:id="rId2" w:fontKey="{AFBEA1F8-B6D0-4B49-8BDC-E880BC3DA1AE}"/>
  </w:font>
  <w:font w:name="Play">
    <w:charset w:val="00"/>
    <w:family w:val="auto"/>
    <w:pitch w:val="default"/>
    <w:embedRegular r:id="rId3" w:fontKey="{A1FC72F3-926E-844F-8BA3-57E618CE5812}"/>
  </w:font>
  <w:font w:name="Times New Roman">
    <w:panose1 w:val="02020603050405020304"/>
    <w:charset w:val="00"/>
    <w:family w:val="roman"/>
    <w:pitch w:val="variable"/>
    <w:sig w:usb0="E0002EFF" w:usb1="C000785B" w:usb2="00000009" w:usb3="00000000" w:csb0="000001FF" w:csb1="00000000"/>
    <w:embedRegular r:id="rId4" w:fontKey="{6E04AA8F-97AD-7C4A-87DE-D74C80517D48}"/>
    <w:embedBold r:id="rId5" w:fontKey="{BD95796F-3BA0-B54D-AEDF-B6A9A758E8E1}"/>
    <w:embedItalic r:id="rId6" w:fontKey="{47E0383B-6B87-9445-B41B-7380C029474C}"/>
  </w:font>
  <w:font w:name="Roboto">
    <w:panose1 w:val="02000000000000000000"/>
    <w:charset w:val="00"/>
    <w:family w:val="auto"/>
    <w:pitch w:val="variable"/>
    <w:sig w:usb0="E0000AFF" w:usb1="5000217F" w:usb2="00000021" w:usb3="00000000" w:csb0="0000019F" w:csb1="00000000"/>
    <w:embedRegular r:id="rId7" w:fontKey="{CE537E0A-A48D-F040-8A8F-CBD57BC55D0D}"/>
  </w:font>
  <w:font w:name="Calibri">
    <w:panose1 w:val="020F0502020204030204"/>
    <w:charset w:val="00"/>
    <w:family w:val="swiss"/>
    <w:pitch w:val="variable"/>
    <w:sig w:usb0="E4002EFF" w:usb1="C200247B" w:usb2="00000009" w:usb3="00000000" w:csb0="000001FF" w:csb1="00000000"/>
    <w:embedRegular r:id="rId8" w:fontKey="{FE5D9D48-60E3-5F48-82F3-DA7BD396F6F6}"/>
  </w:font>
  <w:font w:name="Cambria">
    <w:panose1 w:val="02040503050406030204"/>
    <w:charset w:val="00"/>
    <w:family w:val="roman"/>
    <w:pitch w:val="variable"/>
    <w:sig w:usb0="E00006FF" w:usb1="420024FF" w:usb2="02000000" w:usb3="00000000" w:csb0="0000019F" w:csb1="00000000"/>
    <w:embedRegular r:id="rId9" w:fontKey="{A21497B5-9B35-C142-BB9C-A7925272BF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486"/>
    <w:rsid w:val="002F5486"/>
    <w:rsid w:val="00D31E06"/>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21149A84"/>
  <w15:docId w15:val="{78A20FE6-6C95-7544-8062-D70ED2EE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MX"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0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10.1177/1367549415577392" TargetMode="External"/><Relationship Id="rId5" Type="http://schemas.openxmlformats.org/officeDocument/2006/relationships/hyperlink" Target="https://doi.org/10.14763/2019.4.1425"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GeJrbB7qGOiw4hFWk6JV905LaA==">CgMxLjA4AHIhMTRrRGUwTkRfb3pKeVNIMGxZbEtFSHdxMFlsSHhUeWlB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Angeliki</cp:lastModifiedBy>
  <cp:revision>2</cp:revision>
  <dcterms:created xsi:type="dcterms:W3CDTF">2026-04-30T12:57:00Z</dcterms:created>
  <dcterms:modified xsi:type="dcterms:W3CDTF">2026-04-30T12:58:00Z</dcterms:modified>
</cp:coreProperties>
</file>