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6A76" w:rsidRPr="00946A76" w:rsidRDefault="00946A76" w:rsidP="00946A76">
      <w:pPr>
        <w:jc w:val="both"/>
        <w:rPr>
          <w:rFonts w:ascii="Times New Roman" w:hAnsi="Times New Roman" w:cs="Times New Roman"/>
          <w:b/>
          <w:bCs/>
          <w:color w:val="000000"/>
          <w:sz w:val="28"/>
          <w:szCs w:val="28"/>
        </w:rPr>
      </w:pPr>
      <w:r w:rsidRPr="00946A76">
        <w:rPr>
          <w:rStyle w:val="apple-converted-space"/>
          <w:rFonts w:ascii="Times New Roman" w:hAnsi="Times New Roman" w:cs="Times New Roman"/>
          <w:b/>
          <w:bCs/>
          <w:color w:val="000000"/>
          <w:sz w:val="28"/>
          <w:szCs w:val="28"/>
        </w:rPr>
        <w:t> </w:t>
      </w:r>
      <w:r w:rsidRPr="00946A76">
        <w:rPr>
          <w:rFonts w:ascii="Times New Roman" w:hAnsi="Times New Roman" w:cs="Times New Roman"/>
          <w:b/>
          <w:bCs/>
          <w:color w:val="000000"/>
          <w:sz w:val="28"/>
          <w:szCs w:val="28"/>
        </w:rPr>
        <w:t>Animating Materiality: Hand-Drawn Aesthetics in The Glassworker</w:t>
      </w:r>
    </w:p>
    <w:tbl>
      <w:tblPr>
        <w:tblW w:w="11490" w:type="dxa"/>
        <w:shd w:val="clear" w:color="auto" w:fill="FFFFFF"/>
        <w:tblCellMar>
          <w:top w:w="15" w:type="dxa"/>
          <w:left w:w="15" w:type="dxa"/>
          <w:bottom w:w="15" w:type="dxa"/>
          <w:right w:w="15" w:type="dxa"/>
        </w:tblCellMar>
        <w:tblLook w:val="04A0" w:firstRow="1" w:lastRow="0" w:firstColumn="1" w:lastColumn="0" w:noHBand="0" w:noVBand="1"/>
      </w:tblPr>
      <w:tblGrid>
        <w:gridCol w:w="1878"/>
        <w:gridCol w:w="2556"/>
        <w:gridCol w:w="6979"/>
        <w:gridCol w:w="77"/>
      </w:tblGrid>
      <w:tr w:rsidR="00946A76" w:rsidRPr="00946A76" w:rsidTr="00946A76">
        <w:tc>
          <w:tcPr>
            <w:tcW w:w="0" w:type="auto"/>
            <w:tcBorders>
              <w:top w:val="nil"/>
              <w:left w:val="nil"/>
              <w:bottom w:val="nil"/>
              <w:right w:val="nil"/>
            </w:tcBorders>
            <w:shd w:val="clear" w:color="auto" w:fill="FFFFFF"/>
            <w:hideMark/>
          </w:tcPr>
          <w:p w:rsidR="00946A76" w:rsidRPr="00946A76" w:rsidRDefault="00946A76" w:rsidP="00946A76">
            <w:pPr>
              <w:jc w:val="both"/>
              <w:rPr>
                <w:rFonts w:ascii="Times New Roman" w:eastAsia="Times New Roman" w:hAnsi="Times New Roman" w:cs="Times New Roman"/>
                <w:color w:val="212529"/>
                <w:kern w:val="0"/>
                <w:lang w:eastAsia="en-GB"/>
                <w14:ligatures w14:val="none"/>
              </w:rPr>
            </w:pPr>
            <w:r w:rsidRPr="00946A76">
              <w:rPr>
                <w:rFonts w:ascii="Times New Roman" w:eastAsia="Times New Roman" w:hAnsi="Times New Roman" w:cs="Times New Roman"/>
                <w:color w:val="212529"/>
                <w:kern w:val="0"/>
                <w:lang w:eastAsia="en-GB"/>
                <w14:ligatures w14:val="none"/>
              </w:rPr>
              <w:t>Yasemin</w:t>
            </w:r>
          </w:p>
        </w:tc>
        <w:tc>
          <w:tcPr>
            <w:tcW w:w="0" w:type="auto"/>
            <w:tcBorders>
              <w:top w:val="nil"/>
              <w:left w:val="nil"/>
              <w:bottom w:val="nil"/>
              <w:right w:val="nil"/>
            </w:tcBorders>
            <w:shd w:val="clear" w:color="auto" w:fill="FFFFFF"/>
            <w:hideMark/>
          </w:tcPr>
          <w:p w:rsidR="00946A76" w:rsidRPr="00946A76" w:rsidRDefault="00946A76" w:rsidP="00946A76">
            <w:pPr>
              <w:jc w:val="both"/>
              <w:rPr>
                <w:rFonts w:ascii="Times New Roman" w:eastAsia="Times New Roman" w:hAnsi="Times New Roman" w:cs="Times New Roman"/>
                <w:color w:val="212529"/>
                <w:kern w:val="0"/>
                <w:lang w:eastAsia="en-GB"/>
                <w14:ligatures w14:val="none"/>
              </w:rPr>
            </w:pPr>
            <w:r w:rsidRPr="00946A76">
              <w:rPr>
                <w:rFonts w:ascii="Times New Roman" w:eastAsia="Times New Roman" w:hAnsi="Times New Roman" w:cs="Times New Roman"/>
                <w:color w:val="212529"/>
                <w:kern w:val="0"/>
                <w:lang w:eastAsia="en-GB"/>
                <w14:ligatures w14:val="none"/>
              </w:rPr>
              <w:t>Kılınçarslan</w:t>
            </w:r>
          </w:p>
        </w:tc>
        <w:tc>
          <w:tcPr>
            <w:tcW w:w="0" w:type="auto"/>
            <w:tcBorders>
              <w:top w:val="nil"/>
              <w:left w:val="nil"/>
              <w:bottom w:val="nil"/>
              <w:right w:val="nil"/>
            </w:tcBorders>
            <w:shd w:val="clear" w:color="auto" w:fill="FFFFFF"/>
            <w:hideMark/>
          </w:tcPr>
          <w:p w:rsidR="00946A76" w:rsidRPr="00946A76" w:rsidRDefault="00946A76" w:rsidP="00946A76">
            <w:pPr>
              <w:jc w:val="both"/>
              <w:rPr>
                <w:rFonts w:ascii="Times New Roman" w:eastAsia="Times New Roman" w:hAnsi="Times New Roman" w:cs="Times New Roman"/>
                <w:color w:val="212529"/>
                <w:kern w:val="0"/>
                <w:lang w:eastAsia="en-GB"/>
                <w14:ligatures w14:val="none"/>
              </w:rPr>
            </w:pPr>
            <w:r w:rsidRPr="00946A76">
              <w:rPr>
                <w:rFonts w:ascii="Times New Roman" w:eastAsia="Times New Roman" w:hAnsi="Times New Roman" w:cs="Times New Roman"/>
                <w:color w:val="212529"/>
                <w:kern w:val="0"/>
                <w:lang w:eastAsia="en-GB"/>
                <w14:ligatures w14:val="none"/>
              </w:rPr>
              <w:t>yasemin.kilincarslan@usak.edu.tr</w:t>
            </w:r>
          </w:p>
        </w:tc>
        <w:tc>
          <w:tcPr>
            <w:tcW w:w="0" w:type="auto"/>
            <w:tcBorders>
              <w:top w:val="nil"/>
              <w:left w:val="nil"/>
              <w:bottom w:val="nil"/>
              <w:right w:val="nil"/>
            </w:tcBorders>
            <w:shd w:val="clear" w:color="auto" w:fill="FFFFFF"/>
            <w:hideMark/>
          </w:tcPr>
          <w:p w:rsidR="00946A76" w:rsidRPr="00946A76" w:rsidRDefault="00946A76" w:rsidP="00946A76">
            <w:pPr>
              <w:jc w:val="both"/>
              <w:rPr>
                <w:rFonts w:ascii="Times New Roman" w:eastAsia="Times New Roman" w:hAnsi="Times New Roman" w:cs="Times New Roman"/>
                <w:color w:val="212529"/>
                <w:kern w:val="0"/>
                <w:lang w:eastAsia="en-GB"/>
                <w14:ligatures w14:val="none"/>
              </w:rPr>
            </w:pPr>
          </w:p>
        </w:tc>
      </w:tr>
    </w:tbl>
    <w:p w:rsidR="00946A76" w:rsidRPr="00946A76" w:rsidRDefault="00946A76" w:rsidP="00946A76">
      <w:pPr>
        <w:jc w:val="both"/>
        <w:rPr>
          <w:rFonts w:ascii="Times New Roman" w:eastAsia="Times New Roman" w:hAnsi="Times New Roman" w:cs="Times New Roman"/>
          <w:kern w:val="0"/>
          <w:lang w:eastAsia="en-GB"/>
          <w14:ligatures w14:val="none"/>
        </w:rPr>
      </w:pPr>
    </w:p>
    <w:p w:rsidR="00946A76" w:rsidRPr="00946A76" w:rsidRDefault="00946A76" w:rsidP="00946A76">
      <w:pPr>
        <w:jc w:val="both"/>
        <w:rPr>
          <w:rFonts w:ascii="Times New Roman" w:hAnsi="Times New Roman" w:cs="Times New Roman"/>
          <w:color w:val="000000"/>
          <w:lang w:val="en-US"/>
        </w:rPr>
      </w:pPr>
    </w:p>
    <w:p w:rsidR="00946A76" w:rsidRPr="00946A76" w:rsidRDefault="00946A76" w:rsidP="00946A76">
      <w:pPr>
        <w:jc w:val="both"/>
        <w:rPr>
          <w:rFonts w:ascii="Times New Roman" w:hAnsi="Times New Roman" w:cs="Times New Roman"/>
          <w:color w:val="000000"/>
          <w:lang w:val="en-US"/>
        </w:rPr>
      </w:pPr>
    </w:p>
    <w:p w:rsidR="00946A76" w:rsidRPr="00946A76" w:rsidRDefault="00946A76" w:rsidP="00946A76">
      <w:pPr>
        <w:jc w:val="both"/>
        <w:rPr>
          <w:rFonts w:ascii="Times New Roman" w:hAnsi="Times New Roman" w:cs="Times New Roman"/>
        </w:rPr>
      </w:pPr>
      <w:r w:rsidRPr="00946A76">
        <w:rPr>
          <w:rFonts w:ascii="Times New Roman" w:hAnsi="Times New Roman" w:cs="Times New Roman"/>
        </w:rPr>
        <w:t xml:space="preserve">ABSTRACT </w:t>
      </w:r>
    </w:p>
    <w:p w:rsidR="00946A76" w:rsidRPr="00946A76" w:rsidRDefault="00946A76" w:rsidP="00946A76">
      <w:pPr>
        <w:jc w:val="both"/>
        <w:rPr>
          <w:rFonts w:ascii="Times New Roman" w:hAnsi="Times New Roman" w:cs="Times New Roman"/>
        </w:rPr>
      </w:pPr>
    </w:p>
    <w:p w:rsidR="00946A76" w:rsidRPr="00946A76" w:rsidRDefault="00946A76" w:rsidP="00946A76">
      <w:pPr>
        <w:jc w:val="both"/>
        <w:rPr>
          <w:rFonts w:ascii="Times New Roman" w:hAnsi="Times New Roman" w:cs="Times New Roman"/>
        </w:rPr>
      </w:pPr>
      <w:r w:rsidRPr="00946A76">
        <w:rPr>
          <w:rFonts w:ascii="Times New Roman" w:hAnsi="Times New Roman" w:cs="Times New Roman"/>
        </w:rPr>
        <w:t xml:space="preserve">Contemporary animation culture is increasingly shaped by digitally standardized visual surfaces, seamless flows of movement, and production processes that often conceal the visibility of artistic labor. In a media environment marked by the growing integration of AI-assisted creative tools, hand-drawn animation acquires renewed cultural significance not as a nostalgic return to predigital aesthetics, but as a material cinematic practice that foregrounds texture, imperfection, and human intervention within the image itself. This article examines The Glassworker as a contemporary example that reconsiders the aesthetic and cultural value of handcrafted animation within global image culture. Through a theory-informed close formal analysis, the study explores how irregular linework, layered textures, painterly color transitions, and rhythmically restrained movement allow traces of manual construction to remain perceptible within the moving image. Rather than reproducing the frictionless visual smoothness associated with dominant digital animation aesthetics, the film sustains a tactile visual environment in which emotional fragility and graphic labor remain visibly embedded in the frame. Drawing on theories of animation materiality, haptic visuality, and post-digital animation culture, the article argues that hand-drawn aesthetics function here not as a technologically obsolete form, but as a contemporary aesthetic intervention that revalues visible labor, material incompleteness, and artisanal image-making in the age of automation. The article further suggests that the film opens an alternative visual space within the increasingly homogenized circulation of global animation industries and platformoriented media culture. Rather than framing hand-drawn animation as a nostalgic revival of earlier cinematic practices, the study positions The Glassworker as a contemporary aesthetic response to the accelerating automation and visual standardization of global animation culture. In this sense, the film contributes to current debates surrounding creativity, technology, AI-driven media production, and the future of human labor in animation cinema. </w:t>
      </w:r>
    </w:p>
    <w:p w:rsidR="00946A76" w:rsidRPr="00946A76" w:rsidRDefault="00946A76" w:rsidP="00946A76">
      <w:pPr>
        <w:jc w:val="both"/>
        <w:rPr>
          <w:rFonts w:ascii="Times New Roman" w:hAnsi="Times New Roman" w:cs="Times New Roman"/>
        </w:rPr>
      </w:pPr>
    </w:p>
    <w:p w:rsidR="00946A76" w:rsidRPr="00946A76" w:rsidRDefault="00946A76" w:rsidP="00946A76">
      <w:pPr>
        <w:jc w:val="both"/>
        <w:rPr>
          <w:rFonts w:ascii="Times New Roman" w:hAnsi="Times New Roman" w:cs="Times New Roman"/>
          <w:color w:val="000000"/>
          <w:lang w:val="en-US"/>
        </w:rPr>
      </w:pPr>
      <w:r w:rsidRPr="00946A76">
        <w:rPr>
          <w:rFonts w:ascii="Times New Roman" w:hAnsi="Times New Roman" w:cs="Times New Roman"/>
        </w:rPr>
        <w:t>Keywords: hand-drawn animation; animation aesthetics; materiality; haptic visuality; graphic labor; post-digital animation; AI and creativity</w:t>
      </w:r>
    </w:p>
    <w:sectPr w:rsidR="00946A76" w:rsidRPr="00946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76"/>
    <w:rsid w:val="00286693"/>
    <w:rsid w:val="00946A76"/>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ecimalSymbol w:val=","/>
  <w:listSeparator w:val=","/>
  <w14:docId w14:val="1C9AF6A3"/>
  <w15:chartTrackingRefBased/>
  <w15:docId w15:val="{21F7686A-7751-314B-98CE-BD2B9CF1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9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dc:creator>
  <cp:keywords/>
  <dc:description/>
  <cp:lastModifiedBy>Angeliki</cp:lastModifiedBy>
  <cp:revision>1</cp:revision>
  <dcterms:created xsi:type="dcterms:W3CDTF">2026-05-29T13:59:00Z</dcterms:created>
  <dcterms:modified xsi:type="dcterms:W3CDTF">2026-05-29T14:01:00Z</dcterms:modified>
</cp:coreProperties>
</file>