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7446BC" w:rsidRDefault="00000000">
      <w:pPr>
        <w:spacing w:line="480" w:lineRule="auto"/>
        <w:jc w:val="both"/>
        <w:rPr>
          <w:rFonts w:ascii="Times New Roman" w:eastAsia="Times New Roman" w:hAnsi="Times New Roman" w:cs="Times New Roman"/>
          <w:b/>
          <w:bCs/>
        </w:rPr>
      </w:pPr>
      <w:r>
        <w:rPr>
          <w:rFonts w:ascii="Times New Roman" w:eastAsia="Times New Roman" w:hAnsi="Times New Roman" w:cs="Times New Roman"/>
          <w:b/>
          <w:bCs/>
        </w:rPr>
        <w:t>Algorithmic Discoverability and the Politics of Animation: Gender Inequality and Platform Governance in Global Streaming</w:t>
      </w:r>
    </w:p>
    <w:p w14:paraId="621EF308" w14:textId="77777777" w:rsidR="00295BA5" w:rsidRDefault="00295BA5">
      <w:pPr>
        <w:spacing w:line="480" w:lineRule="auto"/>
        <w:jc w:val="both"/>
        <w:rPr>
          <w:rFonts w:ascii="Times New Roman" w:eastAsia="Times New Roman" w:hAnsi="Times New Roman" w:cs="Times New Roman"/>
          <w:b/>
          <w:bCs/>
        </w:rPr>
      </w:pPr>
    </w:p>
    <w:p w14:paraId="00000002" w14:textId="64B72BFA" w:rsidR="007446BC" w:rsidRDefault="00000000">
      <w:pPr>
        <w:spacing w:line="480" w:lineRule="auto"/>
        <w:jc w:val="both"/>
        <w:rPr>
          <w:rFonts w:ascii="Times New Roman" w:eastAsia="Times New Roman" w:hAnsi="Times New Roman" w:cs="Times New Roman"/>
          <w:b/>
          <w:bCs/>
        </w:rPr>
      </w:pPr>
      <w:r>
        <w:rPr>
          <w:rFonts w:ascii="Times New Roman" w:eastAsia="Times New Roman" w:hAnsi="Times New Roman" w:cs="Times New Roman"/>
          <w:b/>
          <w:bCs/>
        </w:rPr>
        <w:t>Abstract</w:t>
      </w:r>
    </w:p>
    <w:p w14:paraId="00000003" w14:textId="77777777" w:rsidR="007446BC" w:rsidRDefault="00000000">
      <w:pPr>
        <w:pBdr>
          <w:top w:val="nil"/>
          <w:left w:val="nil"/>
          <w:bottom w:val="nil"/>
          <w:right w:val="nil"/>
          <w:between w:val="nil"/>
        </w:pBdr>
        <w:spacing w:line="48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Animation occupies a strategic position at the intersection of creativity, technology and global media industries, yet its circulation increasingly depends on platform infrastructures that regulate visibility through algorithmic recommendation systems. As the volume of audiovisual content exceeds users’ capacity for attention, discoverability has become a central political, economic and cultural issue, positioning platform algorithms as key gatekeepers of cultural circulation. This transformation is particularly significant for animation, a sector characterized by transnational production networks, strong intellectual property logics and genre segmentation, where visibility is closely tied to platform categorization and promotion dynamics.</w:t>
      </w:r>
    </w:p>
    <w:p w14:paraId="00000004" w14:textId="77777777" w:rsidR="007446BC" w:rsidRDefault="00000000">
      <w:pPr>
        <w:pBdr>
          <w:top w:val="nil"/>
          <w:left w:val="nil"/>
          <w:bottom w:val="nil"/>
          <w:right w:val="nil"/>
          <w:between w:val="nil"/>
        </w:pBdr>
        <w:spacing w:line="48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This article examines how platformization reshapes the discoverability of animated audiovisual works in global streaming environments, focusing on the interaction between algorithmic recommendation systems, cultural policy frameworks and industrial structures. Drawing on political economy of media, platform studies and cultural policy analysis, the study develops a qualitative approach combining interface analysis of streaming platforms, examination of catalogue organization and case-based analysis of contemporary animation production. Particular attention is paid to how gender and authorship shape visibility, analysing how works created by women and emerging creators encounter persistent barriers despite the apparent openness of digital distribution systems.</w:t>
      </w:r>
    </w:p>
    <w:p w14:paraId="00000005" w14:textId="77777777" w:rsidR="007446BC" w:rsidRDefault="00000000">
      <w:pPr>
        <w:pBdr>
          <w:top w:val="nil"/>
          <w:left w:val="nil"/>
          <w:bottom w:val="nil"/>
          <w:right w:val="nil"/>
          <w:between w:val="nil"/>
        </w:pBdr>
        <w:spacing w:line="48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analysis operates at three levels. First, it examines regulatory debates and policy initiatives related to audiovisual discoverability, with particular attention to European </w:t>
      </w:r>
      <w:r>
        <w:rPr>
          <w:rFonts w:ascii="Times New Roman" w:eastAsia="Times New Roman" w:hAnsi="Times New Roman" w:cs="Times New Roman"/>
          <w:color w:val="000000"/>
        </w:rPr>
        <w:lastRenderedPageBreak/>
        <w:t>frameworks promoting cultural diversity and local production quotas, as well as their global implications. Second, it analyses the logic of platform interfaces and recommendation systems in major streaming services, identifying how metadata classification, genre labelling and algorithmic promotion structure the visibility of animated works. Third, it explores selected cases of contemporary animation to illustrate how intellectual property concentration, transnational partnerships and platform agreements influence circulation and audience reach.</w:t>
      </w:r>
    </w:p>
    <w:p w14:paraId="00000006" w14:textId="77777777" w:rsidR="007446BC" w:rsidRDefault="00000000">
      <w:pPr>
        <w:pBdr>
          <w:top w:val="nil"/>
          <w:left w:val="nil"/>
          <w:bottom w:val="nil"/>
          <w:right w:val="nil"/>
          <w:between w:val="nil"/>
        </w:pBdr>
        <w:spacing w:line="48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The article argues that algorithmic recommendation systems tend to reinforce existing hierarchies within the animation industry rather than democratizing access to audiences. Large studios and globally recognizable intellectual properties benefit from privileged visibility, while independent, experimental or regionally produced animation remains marginal. Gender inequalities are also reflected in the limited circulation of works directed or created by women, particularly in independent production, adult animation and transmedia storytelling. These dynamics demonstrate that discoverability is not merely a technical function but a politically structured process shaped by regulation, industrial power and platform governance.</w:t>
      </w:r>
    </w:p>
    <w:p w14:paraId="00000007" w14:textId="77777777" w:rsidR="007446BC" w:rsidRDefault="00000000">
      <w:pPr>
        <w:pBdr>
          <w:top w:val="nil"/>
          <w:left w:val="nil"/>
          <w:bottom w:val="nil"/>
          <w:right w:val="nil"/>
          <w:between w:val="nil"/>
        </w:pBdr>
        <w:spacing w:line="48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By situating animation within debates on algorithmic visibility, cultural policy and structural inequality, this article contributes to ongoing discussions on the transformation of cultural industries in the platform economy and highlights the need to reconsider discoverability as a key issue in contemporary media and cultural politics.</w:t>
      </w:r>
    </w:p>
    <w:p w14:paraId="00000008" w14:textId="77777777" w:rsidR="007446BC" w:rsidRDefault="007446BC">
      <w:pPr>
        <w:jc w:val="both"/>
        <w:rPr>
          <w:rFonts w:ascii="Times New Roman" w:eastAsia="Times New Roman" w:hAnsi="Times New Roman" w:cs="Times New Roman"/>
          <w:b/>
          <w:bCs/>
        </w:rPr>
      </w:pPr>
    </w:p>
    <w:p w14:paraId="00000009" w14:textId="77777777" w:rsidR="007446BC" w:rsidRDefault="00000000">
      <w:pPr>
        <w:jc w:val="both"/>
        <w:rPr>
          <w:rFonts w:ascii="Times New Roman" w:eastAsia="Times New Roman" w:hAnsi="Times New Roman" w:cs="Times New Roman"/>
          <w:b/>
          <w:bCs/>
        </w:rPr>
      </w:pPr>
      <w:r>
        <w:rPr>
          <w:rFonts w:ascii="Times New Roman" w:eastAsia="Times New Roman" w:hAnsi="Times New Roman" w:cs="Times New Roman"/>
          <w:b/>
          <w:bCs/>
        </w:rPr>
        <w:t>Keywords</w:t>
      </w:r>
    </w:p>
    <w:p w14:paraId="0000000A" w14:textId="77777777" w:rsidR="007446BC" w:rsidRDefault="00000000">
      <w:pPr>
        <w:pBdr>
          <w:top w:val="nil"/>
          <w:left w:val="nil"/>
          <w:bottom w:val="nil"/>
          <w:right w:val="nil"/>
          <w:between w:val="nil"/>
        </w:pBdr>
        <w:spacing w:before="280" w:after="280" w:line="48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animation; algorithmic discoverability; platform governance; cultural policy; gender inequality; algorithmic visibility</w:t>
      </w:r>
    </w:p>
    <w:p w14:paraId="0000000D" w14:textId="77777777" w:rsidR="007446BC" w:rsidRDefault="00000000">
      <w:pPr>
        <w:spacing w:line="360" w:lineRule="auto"/>
        <w:jc w:val="both"/>
        <w:rPr>
          <w:rFonts w:ascii="Times New Roman" w:eastAsia="Times New Roman" w:hAnsi="Times New Roman" w:cs="Times New Roman"/>
          <w:b/>
          <w:bCs/>
        </w:rPr>
      </w:pPr>
      <w:r>
        <w:rPr>
          <w:rFonts w:ascii="Times New Roman" w:eastAsia="Times New Roman" w:hAnsi="Times New Roman" w:cs="Times New Roman"/>
          <w:b/>
          <w:bCs/>
        </w:rPr>
        <w:lastRenderedPageBreak/>
        <w:t>Short bio</w:t>
      </w:r>
    </w:p>
    <w:p w14:paraId="0000000E" w14:textId="77777777" w:rsidR="007446BC"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María del Carmen Camacho-Gómez holds a PhD in Documentation Sciences from the Complutense University of Madrid. She is a full-time professor and researcher at Universidad Panamericana (Mexico) and a member of Mexico’s National System of Researchers (</w:t>
      </w:r>
      <w:r>
        <w:rPr>
          <w:rFonts w:ascii="Times New Roman" w:eastAsia="Times New Roman" w:hAnsi="Times New Roman" w:cs="Times New Roman"/>
        </w:rPr>
        <w:t>SECIHTI</w:t>
      </w:r>
      <w:r>
        <w:rPr>
          <w:rFonts w:ascii="Times New Roman" w:eastAsia="Times New Roman" w:hAnsi="Times New Roman" w:cs="Times New Roman"/>
          <w:color w:val="000000"/>
        </w:rPr>
        <w:t>). She has over fifteen years of professional experience in audiovisual production, screenwriting and media coordination, and has participated in international projects with the BBC and NHK. Her research focuses on audiovisual narrative, film studies and cultural industries, with particular interest in the relationship between media production, history and representation.</w:t>
      </w:r>
    </w:p>
    <w:p w14:paraId="0000000F" w14:textId="77777777" w:rsidR="007446BC"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br/>
        <w:t>Claudia Ivett Romero-Delgado holds a PhD in Documentation Sciences from the Complutense University of Madrid, an MA in Institutional Communication and a specialization in Anthropology from Universidad Panamericana, and a BA in Communication and Journalism from the National Autonomous University of Mexico (UNAM). She is a full-time research professor at Universidad Panamericana and Head of the Communication Research Academy. She is a member of Mexico’s National System of Researchers (</w:t>
      </w:r>
      <w:r>
        <w:rPr>
          <w:rFonts w:ascii="Times New Roman" w:eastAsia="Times New Roman" w:hAnsi="Times New Roman" w:cs="Times New Roman"/>
        </w:rPr>
        <w:t>SECIHTI</w:t>
      </w:r>
      <w:r>
        <w:rPr>
          <w:rFonts w:ascii="Times New Roman" w:eastAsia="Times New Roman" w:hAnsi="Times New Roman" w:cs="Times New Roman"/>
          <w:color w:val="000000"/>
        </w:rPr>
        <w:t>), Level I. Her research interests include media studies, sustainability, cultural industries and digital communication, with emphasis on the social and political dimensions of contemporary media systems.</w:t>
      </w:r>
    </w:p>
    <w:p w14:paraId="00000010" w14:textId="77777777" w:rsidR="007446BC"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br/>
        <w:t>Alma Delia Zamorano-Rojas holds a PhD in Political and Social Sciences with a major in Communication from the National Autonomous University of Mexico (UNAM). She is a full-time professor and researcher at Universidad Panamericana and a member of Mexico’s National System of Researchers (</w:t>
      </w:r>
      <w:r>
        <w:rPr>
          <w:rFonts w:ascii="Times New Roman" w:eastAsia="Times New Roman" w:hAnsi="Times New Roman" w:cs="Times New Roman"/>
        </w:rPr>
        <w:t>SECIHTI</w:t>
      </w:r>
      <w:r>
        <w:rPr>
          <w:rFonts w:ascii="Times New Roman" w:eastAsia="Times New Roman" w:hAnsi="Times New Roman" w:cs="Times New Roman"/>
          <w:color w:val="000000"/>
        </w:rPr>
        <w:t>). Her academic work focuses on audiovisual culture, film studies and media history, with particular interest in the evolution of cinematic forms, genres and production practices. She has published widely in journals and edited volumes and has presented her research at numerous national and international conferences.</w:t>
      </w:r>
    </w:p>
    <w:p w14:paraId="00000011" w14:textId="77777777" w:rsidR="007446BC" w:rsidRDefault="007446BC"/>
    <w:sectPr w:rsidR="007446BC">
      <w:pgSz w:w="12240" w:h="15840"/>
      <w:pgMar w:top="1417" w:right="1701"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embedRegular r:id="rId1" w:fontKey="{2280FA2F-F5A7-F244-BE31-526F88469907}"/>
    <w:embedItalic r:id="rId2" w:fontKey="{8A48546F-8C5B-7F42-B7A9-75F54FA9E51C}"/>
  </w:font>
  <w:font w:name="Play">
    <w:altName w:val="Calibri"/>
    <w:panose1 w:val="020B0604020202020204"/>
    <w:charset w:val="00"/>
    <w:family w:val="auto"/>
    <w:pitch w:val="default"/>
  </w:font>
  <w:font w:name="Times New Roman">
    <w:panose1 w:val="02020603050405020304"/>
    <w:charset w:val="00"/>
    <w:family w:val="roman"/>
    <w:pitch w:val="variable"/>
    <w:sig w:usb0="E0002EFF" w:usb1="C000785B" w:usb2="00000009" w:usb3="00000000" w:csb0="000001FF" w:csb1="00000000"/>
    <w:embedRegular r:id="rId4" w:fontKey="{F84D571C-0BCD-084B-AD2C-0F83190EF471}"/>
    <w:embedBold r:id="rId5" w:fontKey="{6C235AB3-734B-9147-B9A2-356BECC6ABCC}"/>
    <w:embedItalic r:id="rId6" w:fontKey="{60238754-A39C-2D4F-A062-1F8C740F8D12}"/>
  </w:font>
  <w:font w:name="Aptos Display">
    <w:panose1 w:val="020B0004020202020204"/>
    <w:charset w:val="00"/>
    <w:family w:val="swiss"/>
    <w:pitch w:val="variable"/>
    <w:sig w:usb0="20000287" w:usb1="00000003" w:usb2="00000000" w:usb3="00000000" w:csb0="0000019F" w:csb1="00000000"/>
    <w:embedRegular r:id="rId7" w:fontKey="{2DD6DE46-B6D9-104D-B47C-AD03CE2417A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46BC"/>
    <w:rsid w:val="00103891"/>
    <w:rsid w:val="00295BA5"/>
    <w:rsid w:val="007446B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4:docId w14:val="3898D8AA"/>
  <w15:docId w15:val="{6C27C519-1665-DC4E-AA61-453B6B468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outlineLvl w:val="5"/>
    </w:pPr>
    <w:rPr>
      <w:i/>
      <w:iCs/>
      <w:color w:val="595959"/>
    </w:rPr>
  </w:style>
  <w:style w:type="paragraph" w:styleId="Ttulo7">
    <w:name w:val="heading 7"/>
    <w:basedOn w:val="Normal"/>
    <w:next w:val="Normal"/>
    <w:link w:val="Ttulo7Car"/>
    <w:uiPriority w:val="9"/>
    <w:semiHidden/>
    <w:unhideWhenUsed/>
    <w:qFormat/>
    <w:rsid w:val="007579FD"/>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579FD"/>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579FD"/>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pPr>
    <w:rPr>
      <w:rFonts w:ascii="Play" w:eastAsia="Play" w:hAnsi="Play" w:cs="Play"/>
      <w:sz w:val="56"/>
      <w:szCs w:val="56"/>
    </w:rPr>
  </w:style>
  <w:style w:type="character" w:customStyle="1" w:styleId="Ttulo1Car">
    <w:name w:val="Título 1 Car"/>
    <w:basedOn w:val="Fuentedeprrafopredeter"/>
    <w:uiPriority w:val="9"/>
    <w:rsid w:val="007579F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uiPriority w:val="9"/>
    <w:semiHidden/>
    <w:rsid w:val="007579F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uiPriority w:val="9"/>
    <w:semiHidden/>
    <w:rsid w:val="007579FD"/>
    <w:rPr>
      <w:rFonts w:eastAsiaTheme="majorEastAsia" w:cstheme="majorBidi"/>
      <w:color w:val="0F4761" w:themeColor="accent1" w:themeShade="BF"/>
      <w:sz w:val="28"/>
      <w:szCs w:val="28"/>
    </w:rPr>
  </w:style>
  <w:style w:type="character" w:customStyle="1" w:styleId="Ttulo4Car">
    <w:name w:val="Título 4 Car"/>
    <w:basedOn w:val="Fuentedeprrafopredeter"/>
    <w:uiPriority w:val="9"/>
    <w:semiHidden/>
    <w:rsid w:val="007579FD"/>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7579FD"/>
    <w:rPr>
      <w:rFonts w:eastAsiaTheme="majorEastAsia" w:cstheme="majorBidi"/>
      <w:color w:val="0F4761" w:themeColor="accent1" w:themeShade="BF"/>
    </w:rPr>
  </w:style>
  <w:style w:type="character" w:customStyle="1" w:styleId="Ttulo6Car">
    <w:name w:val="Título 6 Car"/>
    <w:basedOn w:val="Fuentedeprrafopredeter"/>
    <w:uiPriority w:val="9"/>
    <w:semiHidden/>
    <w:rsid w:val="007579F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579F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579F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579FD"/>
    <w:rPr>
      <w:rFonts w:eastAsiaTheme="majorEastAsia" w:cstheme="majorBidi"/>
      <w:color w:val="272727" w:themeColor="text1" w:themeTint="D8"/>
    </w:rPr>
  </w:style>
  <w:style w:type="character" w:customStyle="1" w:styleId="TtuloCar">
    <w:name w:val="Título Car"/>
    <w:basedOn w:val="Fuentedeprrafopredeter"/>
    <w:uiPriority w:val="10"/>
    <w:rsid w:val="007579FD"/>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uiPriority w:val="11"/>
    <w:rsid w:val="007579F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579FD"/>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7579FD"/>
    <w:rPr>
      <w:i/>
      <w:iCs/>
      <w:color w:val="404040" w:themeColor="text1" w:themeTint="BF"/>
    </w:rPr>
  </w:style>
  <w:style w:type="paragraph" w:styleId="Prrafodelista">
    <w:name w:val="List Paragraph"/>
    <w:basedOn w:val="Normal"/>
    <w:uiPriority w:val="34"/>
    <w:qFormat/>
    <w:rsid w:val="007579FD"/>
    <w:pPr>
      <w:ind w:left="720"/>
      <w:contextualSpacing/>
    </w:pPr>
  </w:style>
  <w:style w:type="character" w:styleId="nfasisintenso">
    <w:name w:val="Intense Emphasis"/>
    <w:basedOn w:val="Fuentedeprrafopredeter"/>
    <w:uiPriority w:val="21"/>
    <w:qFormat/>
    <w:rsid w:val="007579FD"/>
    <w:rPr>
      <w:i/>
      <w:iCs/>
      <w:color w:val="0F4761" w:themeColor="accent1" w:themeShade="BF"/>
    </w:rPr>
  </w:style>
  <w:style w:type="paragraph" w:styleId="Citadestacada">
    <w:name w:val="Intense Quote"/>
    <w:basedOn w:val="Normal"/>
    <w:next w:val="Normal"/>
    <w:link w:val="CitadestacadaCar"/>
    <w:uiPriority w:val="30"/>
    <w:qFormat/>
    <w:rsid w:val="007579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579FD"/>
    <w:rPr>
      <w:i/>
      <w:iCs/>
      <w:color w:val="0F4761" w:themeColor="accent1" w:themeShade="BF"/>
    </w:rPr>
  </w:style>
  <w:style w:type="character" w:styleId="Referenciaintensa">
    <w:name w:val="Intense Reference"/>
    <w:basedOn w:val="Fuentedeprrafopredeter"/>
    <w:uiPriority w:val="32"/>
    <w:qFormat/>
    <w:rsid w:val="007579FD"/>
    <w:rPr>
      <w:b/>
      <w:bCs/>
      <w:smallCaps/>
      <w:color w:val="0F4761" w:themeColor="accent1" w:themeShade="BF"/>
      <w:spacing w:val="5"/>
    </w:rPr>
  </w:style>
  <w:style w:type="paragraph" w:styleId="NormalWeb">
    <w:name w:val="Normal (Web)"/>
    <w:basedOn w:val="Normal"/>
    <w:uiPriority w:val="99"/>
    <w:semiHidden/>
    <w:unhideWhenUsed/>
    <w:rsid w:val="007579FD"/>
    <w:pPr>
      <w:spacing w:before="100" w:beforeAutospacing="1" w:after="100" w:afterAutospacing="1"/>
    </w:pPr>
    <w:rPr>
      <w:rFonts w:ascii="Times New Roman" w:eastAsia="Times New Roman" w:hAnsi="Times New Roman" w:cs="Times New Roman"/>
    </w:rPr>
  </w:style>
  <w:style w:type="character" w:styleId="Textoennegrita">
    <w:name w:val="Strong"/>
    <w:basedOn w:val="Fuentedeprrafopredeter"/>
    <w:uiPriority w:val="22"/>
    <w:qFormat/>
    <w:rsid w:val="007579FD"/>
    <w:rPr>
      <w:b/>
      <w:bCs/>
    </w:rPr>
  </w:style>
  <w:style w:type="paragraph" w:styleId="Subttulo">
    <w:name w:val="Subtitle"/>
    <w:basedOn w:val="Normal"/>
    <w:next w:val="Normal"/>
    <w:uiPriority w:val="11"/>
    <w:qFormat/>
    <w:pPr>
      <w:spacing w:after="160"/>
    </w:pPr>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00wIm8Xba9dUNubdmxfRJMx/ug==">CgMxLjA4AHIhMWppWlIwUmk5T3BuOElyWm5mQXhRLWFyZ2VpbXZTTmFU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718</Words>
  <Characters>4822</Characters>
  <Application>Microsoft Office Word</Application>
  <DocSecurity>0</DocSecurity>
  <Lines>76</Lines>
  <Paragraphs>14</Paragraphs>
  <ScaleCrop>false</ScaleCrop>
  <Company/>
  <LinksUpToDate>false</LinksUpToDate>
  <CharactersWithSpaces>5526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Claudia Ivett Romero Delgado</dc:creator>
  <cp:lastModifiedBy>Claudia Ivett Romero Delgado</cp:lastModifiedBy>
  <cp:revision>2</cp:revision>
  <dcterms:created xsi:type="dcterms:W3CDTF">2026-03-24T01:34:00Z</dcterms:created>
  <dcterms:modified xsi:type="dcterms:W3CDTF">2026-03-31T02:34:00Z</dcterms:modified>
</cp:coreProperties>
</file>