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D5E9" w14:textId="6265D443" w:rsidR="006B2EFF" w:rsidRPr="003F7FDB" w:rsidRDefault="006B2EFF">
      <w:pPr>
        <w:rPr>
          <w:b/>
          <w:bCs/>
          <w:i/>
          <w:iCs/>
          <w:lang w:val="en-GB"/>
        </w:rPr>
      </w:pPr>
      <w:r w:rsidRPr="003F7FDB">
        <w:rPr>
          <w:b/>
          <w:bCs/>
          <w:lang w:val="en-GB"/>
        </w:rPr>
        <w:t xml:space="preserve">Transmedia Discoverability and Preschool Animation: The Industrial Ecosystem of </w:t>
      </w:r>
      <w:r w:rsidRPr="003F7FDB">
        <w:rPr>
          <w:b/>
          <w:bCs/>
          <w:i/>
          <w:iCs/>
          <w:lang w:val="en-GB"/>
        </w:rPr>
        <w:t>Gabby’s Dollhouse</w:t>
      </w:r>
    </w:p>
    <w:p w14:paraId="3A3D11A3" w14:textId="1BB10A06" w:rsidR="006B2EFF" w:rsidRPr="006B2EFF" w:rsidRDefault="006B2EFF" w:rsidP="003F7FDB">
      <w:pPr>
        <w:jc w:val="both"/>
        <w:rPr>
          <w:i/>
          <w:iCs/>
          <w:lang w:val="en-GB"/>
        </w:rPr>
      </w:pPr>
      <w:r w:rsidRPr="006B2EFF">
        <w:rPr>
          <w:i/>
          <w:iCs/>
          <w:lang w:val="en-GB"/>
        </w:rPr>
        <w:t>This article examines the transmedia strategies of contemporary preschool animation through the case of Gabby's Dollhouse, analysing how animated intellectual properties circulate across platforms, media formats and consumer markets</w:t>
      </w:r>
      <w:r>
        <w:rPr>
          <w:i/>
          <w:iCs/>
          <w:lang w:val="en-GB"/>
        </w:rPr>
        <w:t xml:space="preserve">. </w:t>
      </w:r>
      <w:r w:rsidRPr="006B2EFF">
        <w:rPr>
          <w:i/>
          <w:iCs/>
          <w:lang w:val="en-GB"/>
        </w:rPr>
        <w:t>Situated at the intersection of animation studies, television studies and media industry research, the article argues that contemporary children’s animation franchises are increasingly conceived as integrated transmedia ecosystems in which discoverability, audience engagement and brand continuity are structurally intertwined.</w:t>
      </w:r>
    </w:p>
    <w:p w14:paraId="53DA6644" w14:textId="77777777" w:rsidR="006B2EFF" w:rsidRPr="006B2EFF" w:rsidRDefault="006B2EFF" w:rsidP="003F7FDB">
      <w:pPr>
        <w:jc w:val="both"/>
        <w:rPr>
          <w:i/>
          <w:iCs/>
          <w:lang w:val="en-GB"/>
        </w:rPr>
      </w:pPr>
      <w:r w:rsidRPr="006B2EFF">
        <w:rPr>
          <w:i/>
          <w:iCs/>
          <w:lang w:val="en-GB"/>
        </w:rPr>
        <w:t>Over the past decade, the global animation industry has shifted toward the development of intellectual properties that extend beyond the television series format into digital platforms, toys, games and online content. This transformation is closely connected to changing patterns of children’s media consumption, which now take place largely within platform-based environments. Streaming services such as Netflix function not only as distributors of animated series but also as algorithmic gatekeepers that shape the visibility and circulation of content. As a result, the discovery of children’s animation is increasingly mediated by recommendation systems, autoplay mechanisms and interface design.</w:t>
      </w:r>
    </w:p>
    <w:p w14:paraId="7C92268D" w14:textId="77777777" w:rsidR="006B2EFF" w:rsidRPr="006B2EFF" w:rsidRDefault="006B2EFF" w:rsidP="003F7FDB">
      <w:pPr>
        <w:jc w:val="both"/>
        <w:rPr>
          <w:i/>
          <w:iCs/>
          <w:lang w:val="en-GB"/>
        </w:rPr>
      </w:pPr>
      <w:r w:rsidRPr="006B2EFF">
        <w:rPr>
          <w:i/>
          <w:iCs/>
          <w:lang w:val="en-GB"/>
        </w:rPr>
        <w:t>Produced by DreamWorks Animation, Gabby’s Dollhouse offers a particularly relevant case study because it combines live-action and animation while operating as a broader transmedia brand. The series centres on a young protagonist who enters a magical dollhouse inhabited by animated characters, encouraging playful exploration and imaginative engagement. Beyond the series itself, the franchise has expanded into toys, digital shorts and interactive media, transforming the property into a cohesive children’s entertainment ecosystem.</w:t>
      </w:r>
    </w:p>
    <w:p w14:paraId="0DDDE5FD" w14:textId="77777777" w:rsidR="006B2EFF" w:rsidRPr="006B2EFF" w:rsidRDefault="006B2EFF" w:rsidP="003F7FDB">
      <w:pPr>
        <w:jc w:val="both"/>
        <w:rPr>
          <w:i/>
          <w:iCs/>
          <w:lang w:val="en-GB"/>
        </w:rPr>
      </w:pPr>
      <w:r w:rsidRPr="006B2EFF">
        <w:rPr>
          <w:i/>
          <w:iCs/>
          <w:lang w:val="en-GB"/>
        </w:rPr>
        <w:t>Through a combination of textual analysis and industry-oriented research, this article explores how narrative design, platform distribution and transmedia expansion work together to enhance the discoverability of animated intellectual properties. By situating Gabby’s Dollhouse within the broader dynamics of the contemporary animation industry, the study contributes to ongoing discussions about how children encounter, navigate and engage with animated audiovisual content in the platform era.</w:t>
      </w:r>
    </w:p>
    <w:p w14:paraId="13A3F48C" w14:textId="77777777" w:rsidR="006B2EFF" w:rsidRDefault="006B2EFF">
      <w:pPr>
        <w:rPr>
          <w:lang w:val="en-GB"/>
        </w:rPr>
      </w:pPr>
    </w:p>
    <w:p w14:paraId="00DF8ECB" w14:textId="0F76A09D" w:rsidR="00EE7591" w:rsidRDefault="00EE7591">
      <w:pPr>
        <w:rPr>
          <w:lang w:val="en-GB"/>
        </w:rPr>
      </w:pPr>
      <w:r>
        <w:rPr>
          <w:rFonts w:ascii="Roboto" w:hAnsi="Roboto"/>
          <w:color w:val="757575"/>
          <w:sz w:val="21"/>
          <w:szCs w:val="21"/>
          <w:shd w:val="clear" w:color="auto" w:fill="FFFFFF"/>
        </w:rPr>
        <w:t>RAUL JAMBRINA ROJO</w:t>
      </w:r>
    </w:p>
    <w:p w14:paraId="0E2ED7F4" w14:textId="3E967C74" w:rsidR="00EE7591" w:rsidRPr="006B2EFF" w:rsidRDefault="00EE7591">
      <w:pPr>
        <w:rPr>
          <w:lang w:val="en-GB"/>
        </w:rPr>
      </w:pPr>
      <w:r>
        <w:rPr>
          <w:rFonts w:ascii="Roboto" w:hAnsi="Roboto"/>
          <w:color w:val="212529"/>
          <w:shd w:val="clear" w:color="auto" w:fill="FFFFFF"/>
        </w:rPr>
        <w:t>100430307@alumnos.uc3m.es</w:t>
      </w:r>
    </w:p>
    <w:sectPr w:rsidR="00EE7591" w:rsidRPr="006B2E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FF"/>
    <w:rsid w:val="00001170"/>
    <w:rsid w:val="003F7FDB"/>
    <w:rsid w:val="006B2EFF"/>
    <w:rsid w:val="00EE7591"/>
    <w:rsid w:val="00FC0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B8DE"/>
  <w15:chartTrackingRefBased/>
  <w15:docId w15:val="{FC4BEECC-3068-4839-A49D-51352D5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EFF"/>
    <w:rPr>
      <w:rFonts w:eastAsiaTheme="majorEastAsia" w:cstheme="majorBidi"/>
      <w:color w:val="272727" w:themeColor="text1" w:themeTint="D8"/>
    </w:rPr>
  </w:style>
  <w:style w:type="paragraph" w:styleId="Title">
    <w:name w:val="Title"/>
    <w:basedOn w:val="Normal"/>
    <w:next w:val="Normal"/>
    <w:link w:val="TitleChar"/>
    <w:uiPriority w:val="10"/>
    <w:qFormat/>
    <w:rsid w:val="006B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EFF"/>
    <w:pPr>
      <w:spacing w:before="160"/>
      <w:jc w:val="center"/>
    </w:pPr>
    <w:rPr>
      <w:i/>
      <w:iCs/>
      <w:color w:val="404040" w:themeColor="text1" w:themeTint="BF"/>
    </w:rPr>
  </w:style>
  <w:style w:type="character" w:customStyle="1" w:styleId="QuoteChar">
    <w:name w:val="Quote Char"/>
    <w:basedOn w:val="DefaultParagraphFont"/>
    <w:link w:val="Quote"/>
    <w:uiPriority w:val="29"/>
    <w:rsid w:val="006B2EFF"/>
    <w:rPr>
      <w:i/>
      <w:iCs/>
      <w:color w:val="404040" w:themeColor="text1" w:themeTint="BF"/>
    </w:rPr>
  </w:style>
  <w:style w:type="paragraph" w:styleId="ListParagraph">
    <w:name w:val="List Paragraph"/>
    <w:basedOn w:val="Normal"/>
    <w:uiPriority w:val="34"/>
    <w:qFormat/>
    <w:rsid w:val="006B2EFF"/>
    <w:pPr>
      <w:ind w:left="720"/>
      <w:contextualSpacing/>
    </w:pPr>
  </w:style>
  <w:style w:type="character" w:styleId="IntenseEmphasis">
    <w:name w:val="Intense Emphasis"/>
    <w:basedOn w:val="DefaultParagraphFont"/>
    <w:uiPriority w:val="21"/>
    <w:qFormat/>
    <w:rsid w:val="006B2EFF"/>
    <w:rPr>
      <w:i/>
      <w:iCs/>
      <w:color w:val="0F4761" w:themeColor="accent1" w:themeShade="BF"/>
    </w:rPr>
  </w:style>
  <w:style w:type="paragraph" w:styleId="IntenseQuote">
    <w:name w:val="Intense Quote"/>
    <w:basedOn w:val="Normal"/>
    <w:next w:val="Normal"/>
    <w:link w:val="IntenseQuoteChar"/>
    <w:uiPriority w:val="30"/>
    <w:qFormat/>
    <w:rsid w:val="006B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EFF"/>
    <w:rPr>
      <w:i/>
      <w:iCs/>
      <w:color w:val="0F4761" w:themeColor="accent1" w:themeShade="BF"/>
    </w:rPr>
  </w:style>
  <w:style w:type="character" w:styleId="IntenseReference">
    <w:name w:val="Intense Reference"/>
    <w:basedOn w:val="DefaultParagraphFont"/>
    <w:uiPriority w:val="32"/>
    <w:qFormat/>
    <w:rsid w:val="006B2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363</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Jambrina Rojo</dc:creator>
  <cp:keywords/>
  <dc:description/>
  <cp:lastModifiedBy>Angeliki</cp:lastModifiedBy>
  <cp:revision>2</cp:revision>
  <dcterms:created xsi:type="dcterms:W3CDTF">2026-03-16T18:48:00Z</dcterms:created>
  <dcterms:modified xsi:type="dcterms:W3CDTF">2026-04-01T14:48:00Z</dcterms:modified>
</cp:coreProperties>
</file>