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
        <w:bidi w:val="0"/>
        <w:spacing w:before="140" w:after="120"/>
        <w:jc w:val="both"/>
        <w:rPr/>
      </w:pPr>
      <w:r>
        <w:rPr>
          <w:rStyle w:val="Style12"/>
          <w:b/>
        </w:rPr>
        <w:tab/>
        <w:tab/>
        <w:tab/>
        <w:tab/>
        <w:tab/>
        <w:t>Abstract (450 words)</w:t>
      </w:r>
    </w:p>
    <w:p>
      <w:pPr>
        <w:pStyle w:val="Style16"/>
        <w:bidi w:val="0"/>
        <w:jc w:val="both"/>
        <w:rPr>
          <w:rStyle w:val="Style12"/>
        </w:rPr>
      </w:pPr>
      <w:r>
        <w:rPr/>
      </w:r>
    </w:p>
    <w:p>
      <w:pPr>
        <w:pStyle w:val="Style16"/>
        <w:bidi w:val="0"/>
        <w:jc w:val="both"/>
        <w:rPr/>
      </w:pPr>
      <w:r>
        <w:rPr>
          <w:rStyle w:val="Style12"/>
        </w:rPr>
        <w:t>“</w:t>
      </w:r>
      <w:r>
        <w:rPr>
          <w:rStyle w:val="Style12"/>
        </w:rPr>
        <w:t>Invisible in the Network: Gender and Access Inequalities in European Animation”</w:t>
      </w:r>
    </w:p>
    <w:p>
      <w:pPr>
        <w:pStyle w:val="Style16"/>
        <w:bidi w:val="0"/>
        <w:jc w:val="both"/>
        <w:rPr>
          <w:rStyle w:val="Style12"/>
        </w:rPr>
      </w:pPr>
      <w:r>
        <w:rPr/>
      </w:r>
    </w:p>
    <w:p>
      <w:pPr>
        <w:pStyle w:val="Style16"/>
        <w:bidi w:val="0"/>
        <w:jc w:val="both"/>
        <w:rPr/>
      </w:pPr>
      <w:r>
        <w:rPr>
          <w:rStyle w:val="Style12"/>
          <w:rFonts w:ascii="Calibri" w:hAnsi="Calibri"/>
          <w:b/>
          <w:i/>
        </w:rPr>
        <w:tab/>
        <w:tab/>
        <w:tab/>
        <w:tab/>
        <w:tab/>
      </w:r>
      <w:r>
        <w:rPr>
          <w:rStyle w:val="Style12"/>
          <w:rFonts w:ascii="Calibri" w:hAnsi="Calibri"/>
          <w:b/>
          <w:i/>
          <w:sz w:val="21"/>
          <w:szCs w:val="21"/>
        </w:rPr>
        <w:t>Eleftheria Chatzidimitriou</w:t>
      </w:r>
    </w:p>
    <w:p>
      <w:pPr>
        <w:pStyle w:val="Style16"/>
        <w:bidi w:val="0"/>
        <w:jc w:val="center"/>
        <w:rPr>
          <w:rFonts w:ascii="Calibri" w:hAnsi="Calibri"/>
          <w:b/>
          <w:i/>
          <w:sz w:val="21"/>
          <w:szCs w:val="21"/>
        </w:rPr>
      </w:pPr>
      <w:r>
        <w:rPr>
          <w:rFonts w:ascii="Calibri" w:hAnsi="Calibri"/>
          <w:b/>
          <w:i/>
          <w:sz w:val="21"/>
          <w:szCs w:val="21"/>
        </w:rPr>
        <w:t>PhD Candidate, University of the Aegean</w:t>
      </w:r>
    </w:p>
    <w:p>
      <w:pPr>
        <w:pStyle w:val="Style16"/>
        <w:bidi w:val="0"/>
        <w:jc w:val="center"/>
        <w:rPr>
          <w:rFonts w:ascii="Calibri" w:hAnsi="Calibri"/>
          <w:b/>
          <w:i/>
          <w:sz w:val="21"/>
          <w:szCs w:val="21"/>
        </w:rPr>
      </w:pPr>
      <w:r>
        <w:rPr>
          <w:rFonts w:ascii="Calibri" w:hAnsi="Calibri"/>
          <w:b/>
          <w:i/>
          <w:sz w:val="21"/>
          <w:szCs w:val="21"/>
        </w:rPr>
        <w:t>echatzi@aegean.gr</w:t>
      </w:r>
    </w:p>
    <w:p>
      <w:pPr>
        <w:pStyle w:val="Style16"/>
        <w:bidi w:val="0"/>
        <w:jc w:val="center"/>
        <w:rPr>
          <w:rFonts w:ascii="Calibri" w:hAnsi="Calibri"/>
          <w:b/>
          <w:i/>
          <w:sz w:val="21"/>
          <w:szCs w:val="21"/>
        </w:rPr>
      </w:pPr>
      <w:r>
        <w:rPr>
          <w:rFonts w:ascii="Calibri" w:hAnsi="Calibri"/>
          <w:b/>
          <w:i/>
          <w:sz w:val="21"/>
          <w:szCs w:val="21"/>
        </w:rPr>
        <w:t>Dr. Panagiotis Kyriakoulakos, Assist. Professor</w:t>
      </w:r>
    </w:p>
    <w:p>
      <w:pPr>
        <w:pStyle w:val="Style16"/>
        <w:bidi w:val="0"/>
        <w:jc w:val="center"/>
        <w:rPr>
          <w:rFonts w:ascii="Calibri" w:hAnsi="Calibri"/>
          <w:b/>
          <w:i/>
          <w:sz w:val="21"/>
          <w:szCs w:val="21"/>
        </w:rPr>
      </w:pPr>
      <w:r>
        <w:rPr>
          <w:rFonts w:ascii="Calibri" w:hAnsi="Calibri"/>
          <w:b/>
          <w:i/>
          <w:sz w:val="21"/>
          <w:szCs w:val="21"/>
        </w:rPr>
        <w:t>University of the Aegean</w:t>
      </w:r>
    </w:p>
    <w:p>
      <w:pPr>
        <w:pStyle w:val="Style16"/>
        <w:bidi w:val="0"/>
        <w:jc w:val="center"/>
        <w:rPr>
          <w:rFonts w:ascii="Calibri" w:hAnsi="Calibri"/>
          <w:b/>
          <w:i/>
          <w:sz w:val="21"/>
          <w:szCs w:val="21"/>
        </w:rPr>
      </w:pPr>
      <w:r>
        <w:rPr>
          <w:rFonts w:ascii="Calibri" w:hAnsi="Calibri"/>
          <w:b/>
          <w:i/>
          <w:sz w:val="21"/>
          <w:szCs w:val="21"/>
        </w:rPr>
        <w:t>pank@aegean.gr</w:t>
      </w:r>
    </w:p>
    <w:p>
      <w:pPr>
        <w:pStyle w:val="Style16"/>
        <w:bidi w:val="0"/>
        <w:jc w:val="both"/>
        <w:rPr>
          <w:rStyle w:val="Style12"/>
        </w:rPr>
      </w:pPr>
      <w:r>
        <w:rPr/>
      </w:r>
    </w:p>
    <w:p>
      <w:pPr>
        <w:pStyle w:val="Style16"/>
        <w:bidi w:val="0"/>
        <w:jc w:val="both"/>
        <w:rPr>
          <w:rFonts w:ascii="Calibri" w:hAnsi="Calibri"/>
          <w:sz w:val="20"/>
          <w:szCs w:val="20"/>
        </w:rPr>
      </w:pPr>
      <w:r>
        <w:rPr>
          <w:rFonts w:ascii="Calibri" w:hAnsi="Calibri"/>
          <w:sz w:val="20"/>
          <w:szCs w:val="20"/>
        </w:rPr>
        <w:t>This paper investigates structural inequalities in the European animation industry through a sociological lens, focusing on how gender and access disparities are produced and reproduced within co-production networks and cultural production ecosystems. Drawing on Pierre Bourdieu’s theory of fields, capital, and power relations, the study conceptualises the animation sector as a competitive social space in which actors struggle for access to resources, recognition, and legitimacy.</w:t>
      </w:r>
    </w:p>
    <w:p>
      <w:pPr>
        <w:pStyle w:val="Style16"/>
        <w:bidi w:val="0"/>
        <w:jc w:val="both"/>
        <w:rPr>
          <w:rFonts w:ascii="Calibri" w:hAnsi="Calibri"/>
          <w:sz w:val="20"/>
          <w:szCs w:val="20"/>
        </w:rPr>
      </w:pPr>
      <w:r>
        <w:rPr>
          <w:rFonts w:ascii="Calibri" w:hAnsi="Calibri"/>
          <w:sz w:val="20"/>
          <w:szCs w:val="20"/>
        </w:rPr>
        <w:t>Within this framework, co-production practices—widely promoted as mechanisms of collaboration, cultural exchange, and risk-sharing—are examined as structured networks that both enable and constrain participation. While central to the sustainability and transnational circulation of European animation, co-productions tend to rely on pre-existing professional relationships, accumulated symbolic capital, and institutional trust. As a result, access is unevenly distributed, privileging established actors while marginalising newcomers and underrepresented groups, particularly women and early-career creators.</w:t>
      </w:r>
    </w:p>
    <w:p>
      <w:pPr>
        <w:pStyle w:val="Style16"/>
        <w:bidi w:val="0"/>
        <w:jc w:val="both"/>
        <w:rPr>
          <w:rFonts w:ascii="Calibri" w:hAnsi="Calibri"/>
          <w:sz w:val="20"/>
          <w:szCs w:val="20"/>
        </w:rPr>
      </w:pPr>
      <w:r>
        <w:rPr>
          <w:rFonts w:ascii="Calibri" w:hAnsi="Calibri"/>
          <w:sz w:val="20"/>
          <w:szCs w:val="20"/>
        </w:rPr>
        <w:t>The paper explores how different forms of capital—economic (access to funding), social (professional networks), and symbolic (recognition through festivals and awards)—interact to shape opportunities within the animation field. Gendered dynamics emerge not only in access to financing and partnerships but also in the ability to accumulate visibility and legitimacy across the production and distribution chain. These inequalities are reinforced by informal gatekeeping practices and embedded norms that influence decision-making processes within co-production environments.</w:t>
      </w:r>
    </w:p>
    <w:p>
      <w:pPr>
        <w:pStyle w:val="Style16"/>
        <w:bidi w:val="0"/>
        <w:jc w:val="both"/>
        <w:rPr>
          <w:rFonts w:ascii="Calibri" w:hAnsi="Calibri"/>
          <w:sz w:val="20"/>
          <w:szCs w:val="20"/>
        </w:rPr>
      </w:pPr>
      <w:r>
        <w:rPr>
          <w:rFonts w:ascii="Calibri" w:hAnsi="Calibri"/>
          <w:sz w:val="20"/>
          <w:szCs w:val="20"/>
        </w:rPr>
        <w:t>The study further considers how inequalities in production extend into distribution and discoverability. As animated content circulates through festivals, broadcasters, and platform-based ecosystems, visibility becomes a key form of symbolic capital. However, access to these channels is not neutral. Selection mechanisms, algorithmic curation, and market-driven logics often favour already visible or institutionally supported creators, reproducing patterns of exclusion. In this context, “invisibility” is not merely a lack of exposure but a structurally produced condition rooted in unequal access to networks of circulation.</w:t>
      </w:r>
    </w:p>
    <w:p>
      <w:pPr>
        <w:pStyle w:val="Style16"/>
        <w:bidi w:val="0"/>
        <w:jc w:val="both"/>
        <w:rPr>
          <w:rFonts w:ascii="Calibri" w:hAnsi="Calibri"/>
          <w:sz w:val="20"/>
          <w:szCs w:val="20"/>
        </w:rPr>
      </w:pPr>
      <w:r>
        <w:rPr>
          <w:rFonts w:ascii="Calibri" w:hAnsi="Calibri"/>
          <w:sz w:val="20"/>
          <w:szCs w:val="20"/>
        </w:rPr>
        <w:t>Methodologically, the paper adopts a qualitative and theoretically informed approach, combining critical analysis of literature on cultural and creative industries with observations drawn from European animation practices and policy frameworks. It also engages with debates on diversity and inclusion in the audiovisual sector, highlighting the gap between formal policy commitments and industry realities.</w:t>
      </w:r>
    </w:p>
    <w:p>
      <w:pPr>
        <w:pStyle w:val="Style16"/>
        <w:bidi w:val="0"/>
        <w:jc w:val="both"/>
        <w:rPr>
          <w:rFonts w:ascii="Calibri" w:hAnsi="Calibri"/>
          <w:sz w:val="20"/>
          <w:szCs w:val="20"/>
        </w:rPr>
      </w:pPr>
      <w:r>
        <w:rPr>
          <w:rFonts w:ascii="Calibri" w:hAnsi="Calibri"/>
          <w:sz w:val="20"/>
          <w:szCs w:val="20"/>
        </w:rPr>
        <w:t>By situating European animation within a framework of social stratification and power, this paper contributes to understanding how inequalities are embedded in structures intended to support collaboration. It argues that addressing gender and access disparities requires not only policy intervention but also a rethinking of the relational dynamics underpinning co-production networks.</w:t>
      </w:r>
    </w:p>
    <w:p>
      <w:pPr>
        <w:pStyle w:val="Style16"/>
        <w:bidi w:val="0"/>
        <w:jc w:val="both"/>
        <w:rPr>
          <w:rFonts w:ascii="Calibri" w:hAnsi="Calibri"/>
          <w:sz w:val="20"/>
          <w:szCs w:val="20"/>
        </w:rPr>
      </w:pPr>
      <w:r>
        <w:rPr>
          <w:rFonts w:ascii="Calibri" w:hAnsi="Calibri"/>
          <w:sz w:val="20"/>
          <w:szCs w:val="20"/>
        </w:rPr>
      </w:r>
    </w:p>
    <w:p>
      <w:pPr>
        <w:pStyle w:val="Style20"/>
        <w:bidi w:val="0"/>
        <w:jc w:val="both"/>
        <w:rPr>
          <w:rFonts w:ascii="Calibri" w:hAnsi="Calibri"/>
          <w:sz w:val="20"/>
          <w:szCs w:val="20"/>
        </w:rPr>
      </w:pPr>
      <w:r>
        <w:rPr>
          <w:rFonts w:ascii="Calibri" w:hAnsi="Calibri"/>
          <w:sz w:val="20"/>
          <w:szCs w:val="20"/>
        </w:rPr>
      </w:r>
    </w:p>
    <w:p>
      <w:pPr>
        <w:pStyle w:val="2"/>
        <w:bidi w:val="0"/>
        <w:jc w:val="both"/>
        <w:rPr>
          <w:rFonts w:ascii="Calibri" w:hAnsi="Calibri"/>
          <w:sz w:val="20"/>
          <w:szCs w:val="20"/>
        </w:rPr>
      </w:pPr>
      <w:r>
        <w:rPr>
          <w:rFonts w:ascii="Calibri" w:hAnsi="Calibri"/>
          <w:sz w:val="20"/>
          <w:szCs w:val="20"/>
        </w:rPr>
        <w:t xml:space="preserve">Keywords: </w:t>
      </w:r>
      <w:r>
        <w:rPr>
          <w:rFonts w:ascii="Calibri" w:hAnsi="Calibri"/>
          <w:b w:val="false"/>
          <w:bCs w:val="false"/>
          <w:sz w:val="20"/>
          <w:szCs w:val="20"/>
        </w:rPr>
        <w:t>Gender inequality, Social stratification, Cultural production networks, Symbolic capital, Power relations</w:t>
      </w:r>
    </w:p>
    <w:p>
      <w:pPr>
        <w:pStyle w:val="Style16"/>
        <w:bidi w:val="0"/>
        <w:jc w:val="both"/>
        <w:rPr>
          <w:rFonts w:ascii="Calibri" w:hAnsi="Calibri"/>
          <w:b w:val="false"/>
          <w:b w:val="false"/>
          <w:bCs w:val="false"/>
          <w:sz w:val="20"/>
          <w:szCs w:val="20"/>
        </w:rPr>
      </w:pPr>
      <w:r>
        <w:rPr>
          <w:rFonts w:ascii="Calibri" w:hAnsi="Calibri"/>
          <w:b w:val="false"/>
          <w:bCs w:val="false"/>
          <w:sz w:val="20"/>
          <w:szCs w:val="20"/>
        </w:rPr>
      </w:r>
    </w:p>
    <w:p>
      <w:pPr>
        <w:pStyle w:val="3"/>
        <w:bidi w:val="0"/>
        <w:jc w:val="both"/>
        <w:rPr>
          <w:rFonts w:ascii="Calibri" w:hAnsi="Calibri"/>
          <w:sz w:val="20"/>
          <w:szCs w:val="20"/>
        </w:rPr>
      </w:pPr>
      <w:r>
        <w:rPr>
          <w:rStyle w:val="Style12"/>
          <w:rFonts w:ascii="Calibri" w:hAnsi="Calibri"/>
          <w:b/>
          <w:sz w:val="20"/>
          <w:szCs w:val="20"/>
        </w:rPr>
        <w:t>Indicative References</w:t>
      </w:r>
    </w:p>
    <w:p>
      <w:pPr>
        <w:pStyle w:val="Style16"/>
        <w:numPr>
          <w:ilvl w:val="0"/>
          <w:numId w:val="2"/>
        </w:numPr>
        <w:tabs>
          <w:tab w:val="clear" w:pos="709"/>
          <w:tab w:val="left" w:pos="709" w:leader="none"/>
        </w:tabs>
        <w:bidi w:val="0"/>
        <w:spacing w:before="0" w:after="0"/>
        <w:ind w:left="709" w:hanging="283"/>
        <w:jc w:val="left"/>
        <w:rPr/>
      </w:pPr>
      <w:r>
        <w:rPr>
          <w:rFonts w:ascii="Calibri" w:hAnsi="Calibri"/>
          <w:sz w:val="20"/>
          <w:szCs w:val="20"/>
        </w:rPr>
        <w:t xml:space="preserve">Pierre Bourdieu (1986). </w:t>
      </w:r>
      <w:r>
        <w:rPr>
          <w:rStyle w:val="Style14"/>
          <w:rFonts w:ascii="Calibri" w:hAnsi="Calibri"/>
          <w:sz w:val="20"/>
          <w:szCs w:val="20"/>
        </w:rPr>
        <w:t>The Forms of Capital</w:t>
      </w:r>
      <w:r>
        <w:rPr>
          <w:rFonts w:ascii="Calibri" w:hAnsi="Calibri"/>
          <w:sz w:val="20"/>
          <w:szCs w:val="20"/>
        </w:rPr>
        <w:t xml:space="preserve">. In J. Richardson (Ed.), </w:t>
      </w:r>
      <w:r>
        <w:rPr>
          <w:rStyle w:val="Style14"/>
          <w:rFonts w:ascii="Calibri" w:hAnsi="Calibri"/>
          <w:sz w:val="20"/>
          <w:szCs w:val="20"/>
        </w:rPr>
        <w:t>Handbook of Theory and Research for the Sociology of Education</w:t>
      </w:r>
      <w:r>
        <w:rPr>
          <w:rFonts w:ascii="Calibri" w:hAnsi="Calibri"/>
          <w:sz w:val="20"/>
          <w:szCs w:val="20"/>
        </w:rPr>
        <w:t xml:space="preserve">. Greenwood. </w:t>
      </w:r>
    </w:p>
    <w:p>
      <w:pPr>
        <w:pStyle w:val="Style16"/>
        <w:numPr>
          <w:ilvl w:val="0"/>
          <w:numId w:val="2"/>
        </w:numPr>
        <w:tabs>
          <w:tab w:val="clear" w:pos="709"/>
          <w:tab w:val="left" w:pos="709" w:leader="none"/>
        </w:tabs>
        <w:bidi w:val="0"/>
        <w:spacing w:before="0" w:after="140"/>
        <w:ind w:left="709" w:hanging="283"/>
        <w:jc w:val="left"/>
        <w:rPr/>
      </w:pPr>
      <w:r>
        <w:rPr>
          <w:rFonts w:ascii="Calibri" w:hAnsi="Calibri"/>
          <w:sz w:val="20"/>
          <w:szCs w:val="20"/>
        </w:rPr>
        <w:t xml:space="preserve">David Hesmondhalgh (2019). </w:t>
      </w:r>
      <w:r>
        <w:rPr>
          <w:rStyle w:val="Style14"/>
          <w:rFonts w:ascii="Calibri" w:hAnsi="Calibri"/>
          <w:sz w:val="20"/>
          <w:szCs w:val="20"/>
        </w:rPr>
        <w:t>The Cultural Industries</w:t>
      </w:r>
      <w:r>
        <w:rPr>
          <w:rFonts w:ascii="Calibri" w:hAnsi="Calibri"/>
          <w:sz w:val="20"/>
          <w:szCs w:val="20"/>
        </w:rPr>
        <w:t xml:space="preserve"> (4th ed.). SAGE.</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OpenSymbol">
    <w:altName w:val="Arial Unicode MS"/>
    <w:charset w:val="02"/>
    <w:family w:val="auto"/>
    <w:pitch w:val="default"/>
  </w:font>
  <w:font w:name="Liberation Sans">
    <w:altName w:val="Arial"/>
    <w:charset w:val="a1"/>
    <w:family w:val="swiss"/>
    <w:pitch w:val="variable"/>
  </w:font>
  <w:font w:name="Calibri">
    <w:charset w:val="a1"/>
    <w:family w:val="auto"/>
    <w:pitch w:val="default"/>
  </w:font>
  <w:font w:name="Calibri">
    <w:charset w:val="a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l-GR" w:eastAsia="zh-CN" w:bidi="hi-IN"/>
    </w:rPr>
  </w:style>
  <w:style w:type="paragraph" w:styleId="2">
    <w:name w:val="Heading 2"/>
    <w:basedOn w:val="Style15"/>
    <w:next w:val="Style16"/>
    <w:qFormat/>
    <w:pPr>
      <w:numPr>
        <w:ilvl w:val="0"/>
        <w:numId w:val="0"/>
      </w:numPr>
      <w:spacing w:before="200" w:after="120"/>
      <w:outlineLvl w:val="1"/>
    </w:pPr>
    <w:rPr>
      <w:rFonts w:ascii="Liberation Serif" w:hAnsi="Liberation Serif" w:eastAsia="NSimSun" w:cs="Lucida Sans"/>
      <w:b/>
      <w:bCs/>
      <w:sz w:val="36"/>
      <w:szCs w:val="36"/>
    </w:rPr>
  </w:style>
  <w:style w:type="paragraph" w:styleId="3">
    <w:name w:val="Heading 3"/>
    <w:basedOn w:val="Style15"/>
    <w:next w:val="Style16"/>
    <w:qFormat/>
    <w:pPr>
      <w:numPr>
        <w:ilvl w:val="0"/>
        <w:numId w:val="0"/>
      </w:numPr>
      <w:spacing w:before="140" w:after="120"/>
      <w:outlineLvl w:val="2"/>
    </w:pPr>
    <w:rPr>
      <w:rFonts w:ascii="Liberation Serif" w:hAnsi="Liberation Serif" w:eastAsia="NSimSun" w:cs="Lucida Sans"/>
      <w:b/>
      <w:bCs/>
      <w:sz w:val="28"/>
      <w:szCs w:val="28"/>
    </w:rPr>
  </w:style>
  <w:style w:type="character" w:styleId="Style12">
    <w:name w:val="Strong"/>
    <w:qFormat/>
    <w:rPr>
      <w:b/>
      <w:bCs/>
    </w:rPr>
  </w:style>
  <w:style w:type="character" w:styleId="Style13">
    <w:name w:val="Κουκκίδες"/>
    <w:qFormat/>
    <w:rPr>
      <w:rFonts w:ascii="OpenSymbol" w:hAnsi="OpenSymbol" w:eastAsia="OpenSymbol" w:cs="OpenSymbol"/>
    </w:rPr>
  </w:style>
  <w:style w:type="character" w:styleId="Style14">
    <w:name w:val="Emphasis"/>
    <w:qFormat/>
    <w:rPr>
      <w:i/>
      <w:iCs/>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lang w:val="zxx" w:eastAsia="zxx" w:bidi="zxx"/>
    </w:rPr>
  </w:style>
  <w:style w:type="paragraph" w:styleId="Style20">
    <w:name w:val="Οριζόντια γραμμή"/>
    <w:basedOn w:val="Normal"/>
    <w:next w:val="Style16"/>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LibreOffice/7.4.0.3$Windows_X86_64 LibreOffice_project/f85e47c08ddd19c015c0114a68350214f7066f5a</Application>
  <AppVersion>15.0000</AppVersion>
  <Pages>2</Pages>
  <Words>478</Words>
  <Characters>3247</Characters>
  <CharactersWithSpaces>3712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2026-05-03T10:02:55Z</dcterms:created>
  <dc:creator/>
  <dc:description/>
  <dc:language>el-GR</dc:language>
  <cp:lastModifiedBy/>
  <dcterms:modified xsi:type="dcterms:W3CDTF">2026-05-03T21:51:51Z</dcterms:modified>
  <cp:revision>4</cp:revision>
  <dc:subject/>
  <dc:title/>
</cp:coreProperties>
</file>