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68FE4" w14:textId="067BB956" w:rsidR="006F1A47" w:rsidRDefault="00946283" w:rsidP="00D75845">
      <w:pPr>
        <w:spacing w:before="60" w:after="60"/>
        <w:jc w:val="both"/>
        <w:rPr>
          <w:b/>
        </w:rPr>
      </w:pPr>
      <w:r>
        <w:rPr>
          <w:b/>
        </w:rPr>
        <w:t xml:space="preserve">ΝΕΑ ΑΦΗΓΗΣΗ: </w:t>
      </w:r>
      <w:r w:rsidR="00115004">
        <w:rPr>
          <w:b/>
        </w:rPr>
        <w:t>ΣΧΕΔΙΑΣΗ ΚΑΙ ΑΝΑΠΤΥΞΗ ΔΙΑΜΕΣΙΚΩΝ ΕΡΓΩΝ</w:t>
      </w:r>
    </w:p>
    <w:p w14:paraId="582B18C9" w14:textId="77777777" w:rsidR="00115004" w:rsidRPr="00115004" w:rsidRDefault="00115004" w:rsidP="00D75845">
      <w:pPr>
        <w:spacing w:before="60" w:after="60"/>
        <w:jc w:val="both"/>
        <w:rPr>
          <w:b/>
        </w:rPr>
      </w:pPr>
    </w:p>
    <w:p w14:paraId="0862CAA3" w14:textId="77777777" w:rsidR="006F1A47" w:rsidRDefault="006F1A47" w:rsidP="00D75845">
      <w:pPr>
        <w:spacing w:before="60" w:after="60"/>
        <w:jc w:val="both"/>
        <w:rPr>
          <w:b/>
        </w:rPr>
      </w:pPr>
      <w:r w:rsidRPr="00E01C93">
        <w:rPr>
          <w:b/>
        </w:rPr>
        <w:t>Εισαγωγή</w:t>
      </w:r>
    </w:p>
    <w:p w14:paraId="34F868F3" w14:textId="77777777" w:rsidR="00946283" w:rsidRDefault="00946283" w:rsidP="00D75845">
      <w:pPr>
        <w:spacing w:before="60" w:after="60"/>
        <w:jc w:val="both"/>
      </w:pPr>
    </w:p>
    <w:p w14:paraId="51048D1B" w14:textId="5381C892" w:rsidR="00BC4208" w:rsidRPr="001229B0" w:rsidRDefault="00B42D58" w:rsidP="00D75845">
      <w:pPr>
        <w:spacing w:before="60" w:after="60"/>
        <w:jc w:val="both"/>
      </w:pPr>
      <w:r>
        <w:t xml:space="preserve">Ο οπτικοακουστικός τομέας αναπτύσσεται διαρκώς στην εποχή των ψηφιακών δικτύων και των πολλαπλών μέσων διανομής και πρόσβασης στο περιεχόμενο. Η αυξανόμενη πολυπλοκότητα στη δημιουργία και διάδοση ψηφιακού περιεχομένου, οι απαιτήσεις του κοινού για συμμετοχή στα οπτικοακουστικά δρώμενα μέσω πολλαπλών μέσων και η ανάπτυξη των συμπαραγωγών ως κυρίαρχο οικονομικό πρότυπο οπτικοακουστικής παραγωγής, δημιουργούν την ανάγκη εξειδικευμένης γνώσης </w:t>
      </w:r>
      <w:r w:rsidR="009E3FE7">
        <w:t xml:space="preserve">στις δημιουργικές ομάδες που θα κληθούν να λειτουργήσουν στο νέο αυτό διεπιστημονικό πλαίσιο. </w:t>
      </w:r>
    </w:p>
    <w:p w14:paraId="5D00CDAD" w14:textId="77777777" w:rsidR="00946283" w:rsidRDefault="00946283" w:rsidP="00946283">
      <w:pPr>
        <w:spacing w:before="60" w:after="60"/>
        <w:jc w:val="both"/>
      </w:pPr>
    </w:p>
    <w:p w14:paraId="0726C970" w14:textId="38DEF8EF" w:rsidR="00946283" w:rsidRPr="00114A7A" w:rsidRDefault="00946283" w:rsidP="00946283">
      <w:pPr>
        <w:spacing w:before="60" w:after="60"/>
        <w:jc w:val="both"/>
      </w:pPr>
      <w:r w:rsidRPr="00114A7A">
        <w:t xml:space="preserve">Με την εμφάνιση των νέων δικτύων ευρυζωνικότητας για σταθερούς υπολογιστές, αλλά και για κινητά τηλέφωνα και ταμπλέτες, έγινε ηλίου φαεινότερο ότι η παραγωγή και διανομή ψηφιακών οπτικοακουστικών έργων μετέχει της νέας οικονομίας, της οικονομίας των δικτύων. Δίκτυα τεχνολογικά αλλά και δίκτυα επαγγελματικά όπως αυτά που στήνει για τα κινούμενα σχέδια το CARTOON, στο πλαίσιο του προγράμματος MEDIA της Ευρωπαϊκής Ένωσης. </w:t>
      </w:r>
    </w:p>
    <w:p w14:paraId="4C69B447" w14:textId="77777777" w:rsidR="00946283" w:rsidRDefault="00946283" w:rsidP="00946283">
      <w:pPr>
        <w:spacing w:before="60" w:after="60"/>
        <w:jc w:val="both"/>
      </w:pPr>
    </w:p>
    <w:p w14:paraId="760A7446" w14:textId="02DF526C" w:rsidR="00946283" w:rsidRPr="00114A7A" w:rsidRDefault="00946283" w:rsidP="00946283">
      <w:pPr>
        <w:spacing w:before="60" w:after="60"/>
        <w:jc w:val="both"/>
      </w:pPr>
      <w:r w:rsidRPr="00114A7A">
        <w:t>Τα κύρια χαρακτηριστικά της οικονομίας των δικτύων απεικονίζονται συνοπτικά στο παρακάτω σχήμα και ορίζουν ένα σύστημα παραγωγής όπου το παραγόμενο προϊόν οφείλει να έχει πρωτότυπα και καινοτόμα στοιχεία και να διανέμεται στο ευρύτερο δυνατόν κοινό στο συντομότερο χρονικό διάστημα (</w:t>
      </w:r>
      <w:proofErr w:type="spellStart"/>
      <w:r w:rsidRPr="00114A7A">
        <w:rPr>
          <w:lang w:val="en-US"/>
        </w:rPr>
        <w:t>Volle</w:t>
      </w:r>
      <w:proofErr w:type="spellEnd"/>
      <w:r w:rsidRPr="00114A7A">
        <w:t xml:space="preserve">, 1999). </w:t>
      </w:r>
    </w:p>
    <w:p w14:paraId="0A1B902D" w14:textId="77777777" w:rsidR="00946283" w:rsidRPr="00114A7A" w:rsidRDefault="00946283" w:rsidP="00946283">
      <w:pPr>
        <w:spacing w:before="60" w:after="60"/>
        <w:jc w:val="both"/>
        <w:rPr>
          <w:sz w:val="20"/>
          <w:szCs w:val="20"/>
        </w:rPr>
      </w:pPr>
      <w:r w:rsidRPr="00114A7A">
        <w:rPr>
          <w:noProof/>
          <w:sz w:val="20"/>
          <w:szCs w:val="20"/>
        </w:rPr>
        <w:lastRenderedPageBreak/>
        <mc:AlternateContent>
          <mc:Choice Requires="wps">
            <w:drawing>
              <wp:anchor distT="0" distB="0" distL="114300" distR="114300" simplePos="0" relativeHeight="251663360" behindDoc="0" locked="0" layoutInCell="1" allowOverlap="1" wp14:anchorId="4B9BC84D" wp14:editId="32600D63">
                <wp:simplePos x="0" y="0"/>
                <wp:positionH relativeFrom="column">
                  <wp:posOffset>2283460</wp:posOffset>
                </wp:positionH>
                <wp:positionV relativeFrom="paragraph">
                  <wp:posOffset>2999105</wp:posOffset>
                </wp:positionV>
                <wp:extent cx="1485900" cy="451485"/>
                <wp:effectExtent l="0" t="0" r="19050" b="20320"/>
                <wp:wrapNone/>
                <wp:docPr id="39" name="Πλαίσιο κειμένου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1485"/>
                        </a:xfrm>
                        <a:prstGeom prst="rect">
                          <a:avLst/>
                        </a:prstGeom>
                        <a:solidFill>
                          <a:srgbClr val="FFFFFF"/>
                        </a:solidFill>
                        <a:ln w="9525">
                          <a:solidFill>
                            <a:srgbClr val="000000"/>
                          </a:solidFill>
                          <a:miter lim="800000"/>
                          <a:headEnd/>
                          <a:tailEnd/>
                        </a:ln>
                      </wps:spPr>
                      <wps:txbx>
                        <w:txbxContent>
                          <w:p w14:paraId="5D682857" w14:textId="77777777" w:rsidR="00946283" w:rsidRPr="00E32566" w:rsidRDefault="00946283" w:rsidP="00946283">
                            <w:r>
                              <w:t>Αυτοματοποίηση παραγωγής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9BC84D" id="_x0000_t202" coordsize="21600,21600" o:spt="202" path="m,l,21600r21600,l21600,xe">
                <v:stroke joinstyle="miter"/>
                <v:path gradientshapeok="t" o:connecttype="rect"/>
              </v:shapetype>
              <v:shape id="Πλαίσιο κειμένου 36" o:spid="_x0000_s1026" type="#_x0000_t202" style="position:absolute;left:0;text-align:left;margin-left:179.8pt;margin-top:236.15pt;width:117pt;height:3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">
                <v:textbox style="mso-fit-shape-to-text:t">
                  <w:txbxContent>
                    <w:p w14:paraId="5D682857" w14:textId="77777777" w:rsidR="00946283" w:rsidRPr="00E32566" w:rsidRDefault="00946283" w:rsidP="00946283">
                      <w:r>
                        <w:t>Αυτοματοποίηση παραγωγής</w:t>
                      </w:r>
                    </w:p>
                  </w:txbxContent>
                </v:textbox>
              </v:shape>
            </w:pict>
          </mc:Fallback>
        </mc:AlternateContent>
      </w:r>
      <w:r w:rsidRPr="00114A7A">
        <w:rPr>
          <w:noProof/>
          <w:sz w:val="20"/>
          <w:szCs w:val="20"/>
        </w:rPr>
        <mc:AlternateContent>
          <mc:Choice Requires="wps">
            <w:drawing>
              <wp:anchor distT="0" distB="0" distL="114300" distR="114300" simplePos="0" relativeHeight="251664384" behindDoc="0" locked="0" layoutInCell="1" allowOverlap="1" wp14:anchorId="29EE5985" wp14:editId="37ED12E4">
                <wp:simplePos x="0" y="0"/>
                <wp:positionH relativeFrom="column">
                  <wp:posOffset>1485900</wp:posOffset>
                </wp:positionH>
                <wp:positionV relativeFrom="paragraph">
                  <wp:posOffset>5018405</wp:posOffset>
                </wp:positionV>
                <wp:extent cx="2057400" cy="451485"/>
                <wp:effectExtent l="0" t="0" r="19050" b="13970"/>
                <wp:wrapNone/>
                <wp:docPr id="37" name="Πλαίσιο κειμένου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1485"/>
                        </a:xfrm>
                        <a:prstGeom prst="rect">
                          <a:avLst/>
                        </a:prstGeom>
                        <a:solidFill>
                          <a:srgbClr val="FFFFFF"/>
                        </a:solidFill>
                        <a:ln w="9525">
                          <a:solidFill>
                            <a:srgbClr val="000000"/>
                          </a:solidFill>
                          <a:miter lim="800000"/>
                          <a:headEnd/>
                          <a:tailEnd/>
                        </a:ln>
                      </wps:spPr>
                      <wps:txbx>
                        <w:txbxContent>
                          <w:p w14:paraId="7FE0684B" w14:textId="77777777" w:rsidR="00946283" w:rsidRDefault="00946283" w:rsidP="00946283">
                            <w:r>
                              <w:t>Ηλεκτρονικό εμπόριο</w:t>
                            </w:r>
                          </w:p>
                          <w:p w14:paraId="5F0E0B84" w14:textId="77777777" w:rsidR="00946283" w:rsidRPr="00E32566" w:rsidRDefault="00946283" w:rsidP="00946283">
                            <w:r>
                              <w:t>Διαμεσολάβηση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EE5985" id="Πλαίσιο κειμένου 37" o:spid="_x0000_s1027" type="#_x0000_t202" style="position:absolute;left:0;text-align:left;margin-left:117pt;margin-top:395.15pt;width:162pt;height:3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">
                <v:textbox style="mso-fit-shape-to-text:t">
                  <w:txbxContent>
                    <w:p w14:paraId="7FE0684B" w14:textId="77777777" w:rsidR="00946283" w:rsidRDefault="00946283" w:rsidP="00946283">
                      <w:r>
                        <w:t>Ηλεκτρονικό εμπόριο</w:t>
                      </w:r>
                    </w:p>
                    <w:p w14:paraId="5F0E0B84" w14:textId="77777777" w:rsidR="00946283" w:rsidRPr="00E32566" w:rsidRDefault="00946283" w:rsidP="00946283">
                      <w:r>
                        <w:t>Διαμεσολάβηση</w:t>
                      </w:r>
                    </w:p>
                  </w:txbxContent>
                </v:textbox>
              </v:shape>
            </w:pict>
          </mc:Fallback>
        </mc:AlternateContent>
      </w:r>
      <w:r w:rsidRPr="00114A7A">
        <w:rPr>
          <w:sz w:val="20"/>
          <w:szCs w:val="20"/>
        </w:rPr>
        <w:tab/>
      </w:r>
      <w:r w:rsidRPr="00114A7A">
        <w:rPr>
          <w:sz w:val="20"/>
          <w:szCs w:val="20"/>
        </w:rPr>
        <w:tab/>
      </w:r>
      <w:r w:rsidRPr="00114A7A">
        <w:rPr>
          <w:sz w:val="20"/>
          <w:szCs w:val="20"/>
        </w:rPr>
        <w:tab/>
      </w:r>
      <w:r w:rsidRPr="00114A7A">
        <w:rPr>
          <w:sz w:val="20"/>
          <w:szCs w:val="20"/>
        </w:rPr>
        <w:tab/>
      </w:r>
      <w:r w:rsidRPr="00114A7A">
        <w:rPr>
          <w:noProof/>
          <w:sz w:val="20"/>
          <w:szCs w:val="20"/>
        </w:rPr>
        <mc:AlternateContent>
          <mc:Choice Requires="wpc">
            <w:drawing>
              <wp:inline distT="0" distB="0" distL="0" distR="0" wp14:anchorId="1CFA8AEC" wp14:editId="52B04E42">
                <wp:extent cx="6172200" cy="5486400"/>
                <wp:effectExtent l="0" t="0" r="19050" b="19050"/>
                <wp:docPr id="43" name="Καμβάς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9" name="Line 4"/>
                        <wps:cNvCnPr>
                          <a:cxnSpLocks noChangeShapeType="1"/>
                        </wps:cNvCnPr>
                        <wps:spPr bwMode="auto">
                          <a:xfrm flipV="1">
                            <a:off x="831557" y="636378"/>
                            <a:ext cx="73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5"/>
                        <wps:cNvSpPr txBox="1">
                          <a:spLocks noChangeArrowheads="1"/>
                        </wps:cNvSpPr>
                        <wps:spPr bwMode="auto">
                          <a:xfrm>
                            <a:off x="1714459" y="1135142"/>
                            <a:ext cx="1829434" cy="938529"/>
                          </a:xfrm>
                          <a:prstGeom prst="rect">
                            <a:avLst/>
                          </a:prstGeom>
                          <a:solidFill>
                            <a:srgbClr val="FFFFFF"/>
                          </a:solidFill>
                          <a:ln w="9525">
                            <a:solidFill>
                              <a:srgbClr val="000000"/>
                            </a:solidFill>
                            <a:miter lim="800000"/>
                            <a:headEnd/>
                            <a:tailEnd/>
                          </a:ln>
                        </wps:spPr>
                        <wps:txbx>
                          <w:txbxContent>
                            <w:p w14:paraId="38DCB3F9" w14:textId="77777777" w:rsidR="00946283" w:rsidRPr="009D4441" w:rsidRDefault="00946283" w:rsidP="00946283">
                              <w:r w:rsidRPr="009D4441">
                                <w:t xml:space="preserve">Η </w:t>
                              </w:r>
                              <w:r w:rsidRPr="009D4441">
                                <w:t>απασχόληση δημιουργείται κυρίως στους τομείς σχεδιασμού και διανομής</w:t>
                              </w:r>
                            </w:p>
                          </w:txbxContent>
                        </wps:txbx>
                        <wps:bodyPr rot="0" vert="horz" wrap="square" lIns="91440" tIns="45720" rIns="91440" bIns="45720" anchor="t" anchorCtr="0" upright="1">
                          <a:spAutoFit/>
                        </wps:bodyPr>
                      </wps:wsp>
                      <wps:wsp>
                        <wps:cNvPr id="14" name="Line 6"/>
                        <wps:cNvCnPr>
                          <a:cxnSpLocks noChangeShapeType="1"/>
                        </wps:cNvCnPr>
                        <wps:spPr bwMode="auto">
                          <a:xfrm flipH="1" flipV="1">
                            <a:off x="1028822" y="571500"/>
                            <a:ext cx="1028822"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7"/>
                        <wps:cNvCnPr>
                          <a:cxnSpLocks noChangeShapeType="1"/>
                        </wps:cNvCnPr>
                        <wps:spPr bwMode="auto">
                          <a:xfrm flipV="1">
                            <a:off x="2743281" y="57150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8"/>
                        <wps:cNvCnPr>
                          <a:cxnSpLocks noChangeShapeType="1"/>
                        </wps:cNvCnPr>
                        <wps:spPr bwMode="auto">
                          <a:xfrm flipV="1">
                            <a:off x="4343103" y="5715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9"/>
                        <wps:cNvCnPr>
                          <a:cxnSpLocks noChangeShapeType="1"/>
                        </wps:cNvCnPr>
                        <wps:spPr bwMode="auto">
                          <a:xfrm flipH="1" flipV="1">
                            <a:off x="4343103" y="1028700"/>
                            <a:ext cx="57173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flipV="1">
                            <a:off x="5371924" y="1028700"/>
                            <a:ext cx="457092"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11"/>
                        <wps:cNvSpPr txBox="1">
                          <a:spLocks noChangeArrowheads="1"/>
                        </wps:cNvSpPr>
                        <wps:spPr bwMode="auto">
                          <a:xfrm>
                            <a:off x="4343103" y="1363742"/>
                            <a:ext cx="1485899" cy="386714"/>
                          </a:xfrm>
                          <a:prstGeom prst="rect">
                            <a:avLst/>
                          </a:prstGeom>
                          <a:solidFill>
                            <a:srgbClr val="FFFFFF"/>
                          </a:solidFill>
                          <a:ln w="9525">
                            <a:solidFill>
                              <a:srgbClr val="000000"/>
                            </a:solidFill>
                            <a:miter lim="800000"/>
                            <a:headEnd/>
                            <a:tailEnd/>
                          </a:ln>
                        </wps:spPr>
                        <wps:txbx>
                          <w:txbxContent>
                            <w:p w14:paraId="05F13C50" w14:textId="77777777" w:rsidR="00946283" w:rsidRPr="00E32566" w:rsidRDefault="00946283" w:rsidP="00946283">
                              <w:r>
                                <w:t xml:space="preserve">Οικονομικοί </w:t>
                              </w:r>
                              <w:r>
                                <w:t>κίνδυνοι</w:t>
                              </w:r>
                            </w:p>
                          </w:txbxContent>
                        </wps:txbx>
                        <wps:bodyPr rot="0" vert="horz" wrap="square" lIns="91440" tIns="45720" rIns="91440" bIns="45720" anchor="t" anchorCtr="0" upright="1">
                          <a:spAutoFit/>
                        </wps:bodyPr>
                      </wps:wsp>
                      <wps:wsp>
                        <wps:cNvPr id="22" name="Line 12"/>
                        <wps:cNvCnPr>
                          <a:cxnSpLocks noChangeShapeType="1"/>
                        </wps:cNvCnPr>
                        <wps:spPr bwMode="auto">
                          <a:xfrm>
                            <a:off x="1714459" y="2743200"/>
                            <a:ext cx="571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3"/>
                        <wps:cNvCnPr>
                          <a:cxnSpLocks noChangeShapeType="1"/>
                        </wps:cNvCnPr>
                        <wps:spPr bwMode="auto">
                          <a:xfrm flipH="1">
                            <a:off x="4000649" y="2971800"/>
                            <a:ext cx="34245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4"/>
                        <wps:cNvSpPr txBox="1">
                          <a:spLocks noChangeArrowheads="1"/>
                        </wps:cNvSpPr>
                        <wps:spPr bwMode="auto">
                          <a:xfrm>
                            <a:off x="3657465" y="3771900"/>
                            <a:ext cx="2171699" cy="570864"/>
                          </a:xfrm>
                          <a:prstGeom prst="rect">
                            <a:avLst/>
                          </a:prstGeom>
                          <a:solidFill>
                            <a:srgbClr val="FFFFFF"/>
                          </a:solidFill>
                          <a:ln w="9525">
                            <a:solidFill>
                              <a:srgbClr val="000000"/>
                            </a:solidFill>
                            <a:miter lim="800000"/>
                            <a:headEnd/>
                            <a:tailEnd/>
                          </a:ln>
                        </wps:spPr>
                        <wps:txbx>
                          <w:txbxContent>
                            <w:p w14:paraId="12A38F46" w14:textId="77777777" w:rsidR="00946283" w:rsidRPr="00E32566" w:rsidRDefault="00946283" w:rsidP="00946283">
                              <w:r>
                                <w:t>Μονοπωλιακός ανταγωνισμός και διαφοροποίηση παραγωγής</w:t>
                              </w:r>
                            </w:p>
                          </w:txbxContent>
                        </wps:txbx>
                        <wps:bodyPr rot="0" vert="horz" wrap="square" lIns="91440" tIns="45720" rIns="91440" bIns="45720" anchor="t" anchorCtr="0" upright="1">
                          <a:spAutoFit/>
                        </wps:bodyPr>
                      </wps:wsp>
                      <wps:wsp>
                        <wps:cNvPr id="25" name="Text Box 15"/>
                        <wps:cNvSpPr txBox="1">
                          <a:spLocks noChangeArrowheads="1"/>
                        </wps:cNvSpPr>
                        <wps:spPr bwMode="auto">
                          <a:xfrm>
                            <a:off x="2743281" y="3306842"/>
                            <a:ext cx="1485899" cy="386714"/>
                          </a:xfrm>
                          <a:prstGeom prst="rect">
                            <a:avLst/>
                          </a:prstGeom>
                          <a:solidFill>
                            <a:srgbClr val="FFFFFF"/>
                          </a:solidFill>
                          <a:ln w="9525">
                            <a:solidFill>
                              <a:srgbClr val="000000"/>
                            </a:solidFill>
                            <a:miter lim="800000"/>
                            <a:headEnd/>
                            <a:tailEnd/>
                          </a:ln>
                        </wps:spPr>
                        <wps:txbx>
                          <w:txbxContent>
                            <w:p w14:paraId="27BC2B7A" w14:textId="77777777" w:rsidR="00946283" w:rsidRPr="00E32566" w:rsidRDefault="00946283" w:rsidP="00946283">
                              <w:r>
                                <w:t>Παγκοσμιοποίηση</w:t>
                              </w:r>
                            </w:p>
                          </w:txbxContent>
                        </wps:txbx>
                        <wps:bodyPr rot="0" vert="horz" wrap="square" lIns="91440" tIns="45720" rIns="91440" bIns="45720" anchor="t" anchorCtr="0" upright="1">
                          <a:spAutoFit/>
                        </wps:bodyPr>
                      </wps:wsp>
                      <wps:wsp>
                        <wps:cNvPr id="26" name="Text Box 16"/>
                        <wps:cNvSpPr txBox="1">
                          <a:spLocks noChangeArrowheads="1"/>
                        </wps:cNvSpPr>
                        <wps:spPr bwMode="auto">
                          <a:xfrm>
                            <a:off x="4052604" y="2459571"/>
                            <a:ext cx="1485899" cy="570864"/>
                          </a:xfrm>
                          <a:prstGeom prst="rect">
                            <a:avLst/>
                          </a:prstGeom>
                          <a:solidFill>
                            <a:srgbClr val="FFFFFF"/>
                          </a:solidFill>
                          <a:ln w="9525">
                            <a:solidFill>
                              <a:srgbClr val="000000"/>
                            </a:solidFill>
                            <a:miter lim="800000"/>
                            <a:headEnd/>
                            <a:tailEnd/>
                          </a:ln>
                        </wps:spPr>
                        <wps:txbx>
                          <w:txbxContent>
                            <w:p w14:paraId="78DC9FE3" w14:textId="77777777" w:rsidR="00946283" w:rsidRPr="00E32566" w:rsidRDefault="00946283" w:rsidP="00946283">
                              <w:r>
                                <w:t>Παραγωγή σταθερού κόστους</w:t>
                              </w:r>
                            </w:p>
                          </w:txbxContent>
                        </wps:txbx>
                        <wps:bodyPr rot="0" vert="horz" wrap="square" lIns="91440" tIns="45720" rIns="91440" bIns="45720" anchor="t" anchorCtr="0" upright="1">
                          <a:spAutoFit/>
                        </wps:bodyPr>
                      </wps:wsp>
                      <wps:wsp>
                        <wps:cNvPr id="27" name="Line 17"/>
                        <wps:cNvCnPr>
                          <a:cxnSpLocks noChangeShapeType="1"/>
                        </wps:cNvCnPr>
                        <wps:spPr bwMode="auto">
                          <a:xfrm>
                            <a:off x="1142730" y="2743200"/>
                            <a:ext cx="571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8"/>
                        <wps:cNvCnPr>
                          <a:cxnSpLocks noChangeShapeType="1"/>
                        </wps:cNvCnPr>
                        <wps:spPr bwMode="auto">
                          <a:xfrm>
                            <a:off x="3252328" y="2743200"/>
                            <a:ext cx="8002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9"/>
                        <wps:cNvCnPr>
                          <a:cxnSpLocks noChangeShapeType="1"/>
                        </wps:cNvCnPr>
                        <wps:spPr bwMode="auto">
                          <a:xfrm flipV="1">
                            <a:off x="4801980" y="1750456"/>
                            <a:ext cx="73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0"/>
                        <wps:cNvCnPr>
                          <a:cxnSpLocks noChangeShapeType="1"/>
                        </wps:cNvCnPr>
                        <wps:spPr bwMode="auto">
                          <a:xfrm>
                            <a:off x="914184" y="3200400"/>
                            <a:ext cx="800276"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4800925" y="3030435"/>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flipH="1">
                            <a:off x="3200373" y="4229100"/>
                            <a:ext cx="457092"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23"/>
                        <wps:cNvSpPr txBox="1">
                          <a:spLocks noChangeArrowheads="1"/>
                        </wps:cNvSpPr>
                        <wps:spPr bwMode="auto">
                          <a:xfrm>
                            <a:off x="3066750" y="734378"/>
                            <a:ext cx="1485914" cy="304324"/>
                          </a:xfrm>
                          <a:prstGeom prst="rect">
                            <a:avLst/>
                          </a:prstGeom>
                          <a:solidFill>
                            <a:srgbClr val="FFFFFF"/>
                          </a:solidFill>
                          <a:ln w="9525">
                            <a:solidFill>
                              <a:srgbClr val="000000"/>
                            </a:solidFill>
                            <a:miter lim="800000"/>
                            <a:headEnd/>
                            <a:tailEnd/>
                          </a:ln>
                        </wps:spPr>
                        <wps:txbx>
                          <w:txbxContent>
                            <w:p w14:paraId="42EECCFD" w14:textId="77777777" w:rsidR="00946283" w:rsidRPr="00E32566" w:rsidRDefault="00946283" w:rsidP="00946283">
                              <w:r>
                                <w:t>παραβατικότητα</w:t>
                              </w:r>
                            </w:p>
                          </w:txbxContent>
                        </wps:txbx>
                        <wps:bodyPr rot="0" vert="horz" wrap="square" lIns="91440" tIns="45720" rIns="91440" bIns="45720" anchor="t" anchorCtr="0" upright="1">
                          <a:noAutofit/>
                        </wps:bodyPr>
                      </wps:wsp>
                      <wps:wsp>
                        <wps:cNvPr id="34" name="Text Box 24"/>
                        <wps:cNvSpPr txBox="1">
                          <a:spLocks noChangeArrowheads="1"/>
                        </wps:cNvSpPr>
                        <wps:spPr bwMode="auto">
                          <a:xfrm>
                            <a:off x="4667302" y="734378"/>
                            <a:ext cx="1485914" cy="304324"/>
                          </a:xfrm>
                          <a:prstGeom prst="rect">
                            <a:avLst/>
                          </a:prstGeom>
                          <a:solidFill>
                            <a:srgbClr val="FFFFFF"/>
                          </a:solidFill>
                          <a:ln w="9525">
                            <a:solidFill>
                              <a:srgbClr val="000000"/>
                            </a:solidFill>
                            <a:miter lim="800000"/>
                            <a:headEnd/>
                            <a:tailEnd/>
                          </a:ln>
                        </wps:spPr>
                        <wps:txbx>
                          <w:txbxContent>
                            <w:p w14:paraId="5E3AD3C2" w14:textId="77777777" w:rsidR="00946283" w:rsidRPr="00E32566" w:rsidRDefault="00946283" w:rsidP="00946283">
                              <w:r>
                                <w:t>συνεργασίες</w:t>
                              </w:r>
                            </w:p>
                          </w:txbxContent>
                        </wps:txbx>
                        <wps:bodyPr rot="0" vert="horz" wrap="square" lIns="91440" tIns="45720" rIns="91440" bIns="45720" anchor="t" anchorCtr="0" upright="1">
                          <a:noAutofit/>
                        </wps:bodyPr>
                      </wps:wsp>
                      <wps:wsp>
                        <wps:cNvPr id="35" name="Line 25"/>
                        <wps:cNvCnPr>
                          <a:cxnSpLocks noChangeShapeType="1"/>
                        </wps:cNvCnPr>
                        <wps:spPr bwMode="auto">
                          <a:xfrm flipV="1">
                            <a:off x="2609658" y="205740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CFA8AEC" id="Καμβάς 31" o:spid="_x0000_s1028" editas="canvas" style="width:486pt;height:6in;mso-position-horizontal-relative:char;mso-position-vertical-relative:line" coordsize="61722,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722;height:54864;visibility:visible;mso-wrap-style:square" stroked="t">
                  <v:fill o:detectmouseclick="t"/>
                  <v:path o:connecttype="none"/>
                </v:shape>
                <v:line id="Line 4" o:spid="_x0000_s1030" style="position:absolute;flip:y;visibility:visible;mso-wrap-style:square" from="8315,6363" to="8322,2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shape id="Text Box 5" o:spid="_x0000_s1031" type="#_x0000_t202" style="position:absolute;left:17144;top:11351;width:18294;height: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YvwgAAANsAAAAPAAAAZHJzL2Rvd25yZXYueG1sRE9NawIx&#10;EL0L/ocwQm81q8V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DQL3YvwgAAANsAAAAPAAAA&#10;AAAAAAAAAAAAAAcCAABkcnMvZG93bnJldi54bWxQSwUGAAAAAAMAAwC3AAAA9gIAAAAA&#10;">
                  <v:textbox style="mso-fit-shape-to-text:t">
                    <w:txbxContent>
                      <w:p w14:paraId="38DCB3F9" w14:textId="77777777" w:rsidR="00946283" w:rsidRPr="009D4441" w:rsidRDefault="00946283" w:rsidP="00946283">
                        <w:r w:rsidRPr="009D4441">
                          <w:t xml:space="preserve">Η </w:t>
                        </w:r>
                        <w:r w:rsidRPr="009D4441">
                          <w:t>απασχόληση δημιουργείται κυρίως στους τομείς σχεδιασμού και διανομής</w:t>
                        </w:r>
                      </w:p>
                    </w:txbxContent>
                  </v:textbox>
                </v:shape>
                <v:line id="Line 6" o:spid="_x0000_s1032" style="position:absolute;flip:x y;visibility:visible;mso-wrap-style:square" from="10288,5715" to="20576,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07wQAAANsAAAAPAAAAZHJzL2Rvd25yZXYueG1sRE9Ni8Iw&#10;EL0L/ocwwt40VUS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FpJfTvBAAAA2wAAAA8AAAAA&#10;AAAAAAAAAAAABwIAAGRycy9kb3ducmV2LnhtbFBLBQYAAAAAAwADALcAAAD1AgAAAAA=&#10;">
                  <v:stroke endarrow="block"/>
                </v:line>
                <v:line id="Line 7" o:spid="_x0000_s1033" style="position:absolute;flip:y;visibility:visible;mso-wrap-style:square" from="27432,5715" to="2743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8" o:spid="_x0000_s1034" style="position:absolute;flip:y;visibility:visible;mso-wrap-style:square" from="43431,5715" to="4343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9" o:spid="_x0000_s1035" style="position:absolute;flip:x y;visibility:visible;mso-wrap-style:square" from="43431,10287" to="49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">
                  <v:stroke endarrow="block"/>
                </v:line>
                <v:line id="Line 10" o:spid="_x0000_s1036" style="position:absolute;flip:y;visibility:visible;mso-wrap-style:square" from="53719,10287" to="5829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">
                  <v:stroke endarrow="block"/>
                </v:line>
                <v:shape id="Text Box 11" o:spid="_x0000_s1037" type="#_x0000_t202" style="position:absolute;left:43431;top:13637;width:1485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">
                  <v:textbox style="mso-fit-shape-to-text:t">
                    <w:txbxContent>
                      <w:p w14:paraId="05F13C50" w14:textId="77777777" w:rsidR="00946283" w:rsidRPr="00E32566" w:rsidRDefault="00946283" w:rsidP="00946283">
                        <w:r>
                          <w:t xml:space="preserve">Οικονομικοί </w:t>
                        </w:r>
                        <w:r>
                          <w:t>κίνδυνοι</w:t>
                        </w:r>
                      </w:p>
                    </w:txbxContent>
                  </v:textbox>
                </v:shape>
                <v:line id="Line 12" o:spid="_x0000_s1038" style="position:absolute;visibility:visible;mso-wrap-style:square" from="17144,27432" to="22861,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3" o:spid="_x0000_s1039" style="position:absolute;flip:x;visibility:visible;mso-wrap-style:square" from="40006,29718" to="4343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shape id="Text Box 14" o:spid="_x0000_s1040" type="#_x0000_t202" style="position:absolute;left:36574;top:37719;width:21717;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TmxAAAANsAAAAPAAAAZHJzL2Rvd25yZXYueG1sRI9BawIx&#10;FITvBf9DeIXeNFup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JGqJObEAAAA2wAAAA8A&#10;AAAAAAAAAAAAAAAABwIAAGRycy9kb3ducmV2LnhtbFBLBQYAAAAAAwADALcAAAD4AgAAAAA=&#10;">
                  <v:textbox style="mso-fit-shape-to-text:t">
                    <w:txbxContent>
                      <w:p w14:paraId="12A38F46" w14:textId="77777777" w:rsidR="00946283" w:rsidRPr="00E32566" w:rsidRDefault="00946283" w:rsidP="00946283">
                        <w:r>
                          <w:t>Μονοπωλιακός ανταγωνισμός και διαφοροποίηση παραγωγής</w:t>
                        </w:r>
                      </w:p>
                    </w:txbxContent>
                  </v:textbox>
                </v:shape>
                <v:shape id="Text Box 15" o:spid="_x0000_s1041" type="#_x0000_t202" style="position:absolute;left:27432;top:33068;width:1485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9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YAiPL+kHyMkdAAD//wMAUEsBAi0AFAAGAAgAAAAhANvh9svuAAAAhQEAABMAAAAAAAAAAAAA&#10;AAAAAAAAAFtDb250ZW50X1R5cGVzXS54bWxQSwECLQAUAAYACAAAACEAWvQsW78AAAAVAQAACwAA&#10;AAAAAAAAAAAAAAAfAQAAX3JlbHMvLnJlbHNQSwECLQAUAAYACAAAACEA/uaBfcMAAADbAAAADwAA&#10;AAAAAAAAAAAAAAAHAgAAZHJzL2Rvd25yZXYueG1sUEsFBgAAAAADAAMAtwAAAPcCAAAAAA==&#10;">
                  <v:textbox style="mso-fit-shape-to-text:t">
                    <w:txbxContent>
                      <w:p w14:paraId="27BC2B7A" w14:textId="77777777" w:rsidR="00946283" w:rsidRPr="00E32566" w:rsidRDefault="00946283" w:rsidP="00946283">
                        <w:r>
                          <w:t>Παγκοσμιοποίηση</w:t>
                        </w:r>
                      </w:p>
                    </w:txbxContent>
                  </v:textbox>
                </v:shape>
                <v:shape id="Text Box 16" o:spid="_x0000_s1042" type="#_x0000_t202" style="position:absolute;left:40526;top:24595;width:14859;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">
                  <v:textbox style="mso-fit-shape-to-text:t">
                    <w:txbxContent>
                      <w:p w14:paraId="78DC9FE3" w14:textId="77777777" w:rsidR="00946283" w:rsidRPr="00E32566" w:rsidRDefault="00946283" w:rsidP="00946283">
                        <w:r>
                          <w:t>Παραγωγή σταθερού κόστους</w:t>
                        </w:r>
                      </w:p>
                    </w:txbxContent>
                  </v:textbox>
                </v:shape>
                <v:line id="Line 17" o:spid="_x0000_s1043" style="position:absolute;visibility:visible;mso-wrap-style:square" from="11427,27432" to="1714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18" o:spid="_x0000_s1044" style="position:absolute;visibility:visible;mso-wrap-style:square" from="32523,27432" to="4052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19" o:spid="_x0000_s1045" style="position:absolute;flip:y;visibility:visible;mso-wrap-style:square" from="48019,17504" to="48027,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20" o:spid="_x0000_s1046" style="position:absolute;visibility:visible;mso-wrap-style:square" from="9141,32004" to="17144,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21" o:spid="_x0000_s1047" style="position:absolute;visibility:visible;mso-wrap-style:square" from="48009,30304" to="48009,3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22" o:spid="_x0000_s1048" style="position:absolute;flip:x;visibility:visible;mso-wrap-style:square" from="32003,42291" to="36574,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shape id="Text Box 23" o:spid="_x0000_s1049" type="#_x0000_t202" style="position:absolute;left:30667;top:7343;width:14859;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42EECCFD" w14:textId="77777777" w:rsidR="00946283" w:rsidRPr="00E32566" w:rsidRDefault="00946283" w:rsidP="00946283">
                        <w:r>
                          <w:t>παραβατικότητα</w:t>
                        </w:r>
                      </w:p>
                    </w:txbxContent>
                  </v:textbox>
                </v:shape>
                <v:shape id="Text Box 24" o:spid="_x0000_s1050" type="#_x0000_t202" style="position:absolute;left:46673;top:7343;width:14859;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5E3AD3C2" w14:textId="77777777" w:rsidR="00946283" w:rsidRPr="00E32566" w:rsidRDefault="00946283" w:rsidP="00946283">
                        <w:r>
                          <w:t>συνεργασίες</w:t>
                        </w:r>
                      </w:p>
                    </w:txbxContent>
                  </v:textbox>
                </v:shape>
                <v:line id="Line 25" o:spid="_x0000_s1051" style="position:absolute;flip:y;visibility:visible;mso-wrap-style:square" from="26096,20574" to="2609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w10:anchorlock/>
              </v:group>
            </w:pict>
          </mc:Fallback>
        </mc:AlternateContent>
      </w:r>
    </w:p>
    <w:p w14:paraId="5E76D3CE" w14:textId="77777777" w:rsidR="00946283" w:rsidRPr="00114A7A" w:rsidRDefault="00946283" w:rsidP="00946283">
      <w:pPr>
        <w:spacing w:before="60" w:after="60"/>
        <w:jc w:val="both"/>
        <w:rPr>
          <w:sz w:val="20"/>
          <w:szCs w:val="20"/>
          <w:u w:val="single"/>
        </w:rPr>
      </w:pPr>
      <w:r w:rsidRPr="00114A7A">
        <w:rPr>
          <w:noProof/>
          <w:sz w:val="20"/>
          <w:szCs w:val="20"/>
        </w:rPr>
        <mc:AlternateContent>
          <mc:Choice Requires="wps">
            <w:drawing>
              <wp:anchor distT="0" distB="0" distL="114300" distR="114300" simplePos="0" relativeHeight="251659264" behindDoc="0" locked="0" layoutInCell="1" allowOverlap="1" wp14:anchorId="50B7219A" wp14:editId="1C90F2CE">
                <wp:simplePos x="0" y="0"/>
                <wp:positionH relativeFrom="column">
                  <wp:posOffset>504190</wp:posOffset>
                </wp:positionH>
                <wp:positionV relativeFrom="paragraph">
                  <wp:posOffset>-5425635</wp:posOffset>
                </wp:positionV>
                <wp:extent cx="1485900" cy="451485"/>
                <wp:effectExtent l="0" t="0" r="19050" b="25400"/>
                <wp:wrapNone/>
                <wp:docPr id="38" name="Πλαίσιο κειμένου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1485"/>
                        </a:xfrm>
                        <a:prstGeom prst="rect">
                          <a:avLst/>
                        </a:prstGeom>
                        <a:solidFill>
                          <a:srgbClr val="FFFFFF"/>
                        </a:solidFill>
                        <a:ln w="9525">
                          <a:solidFill>
                            <a:srgbClr val="000000"/>
                          </a:solidFill>
                          <a:miter lim="800000"/>
                          <a:headEnd/>
                          <a:tailEnd/>
                        </a:ln>
                      </wps:spPr>
                      <wps:txbx>
                        <w:txbxContent>
                          <w:p w14:paraId="11DAAF1E" w14:textId="77777777" w:rsidR="00946283" w:rsidRPr="00E32566" w:rsidRDefault="00946283" w:rsidP="00946283">
                            <w:r>
                              <w:t xml:space="preserve">Αλλαγή </w:t>
                            </w:r>
                            <w:r>
                              <w:t>οργάνωσης των επιχειρήσεων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B7219A" id="Πλαίσιο κειμένου 32" o:spid="_x0000_s1052" type="#_x0000_t202" style="position:absolute;left:0;text-align:left;margin-left:39.7pt;margin-top:-427.2pt;width:117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">
                <v:textbox style="mso-fit-shape-to-text:t">
                  <w:txbxContent>
                    <w:p w14:paraId="11DAAF1E" w14:textId="77777777" w:rsidR="00946283" w:rsidRPr="00E32566" w:rsidRDefault="00946283" w:rsidP="00946283">
                      <w:r>
                        <w:t xml:space="preserve">Αλλαγή </w:t>
                      </w:r>
                      <w:r>
                        <w:t>οργάνωσης των επιχειρήσεων</w:t>
                      </w:r>
                    </w:p>
                  </w:txbxContent>
                </v:textbox>
              </v:shape>
            </w:pict>
          </mc:Fallback>
        </mc:AlternateContent>
      </w:r>
      <w:r w:rsidRPr="00114A7A">
        <w:rPr>
          <w:noProof/>
          <w:sz w:val="20"/>
          <w:szCs w:val="20"/>
        </w:rPr>
        <mc:AlternateContent>
          <mc:Choice Requires="wps">
            <w:drawing>
              <wp:anchor distT="0" distB="0" distL="114300" distR="114300" simplePos="0" relativeHeight="251662336" behindDoc="0" locked="0" layoutInCell="1" allowOverlap="1" wp14:anchorId="7FBF84DA" wp14:editId="71588BFD">
                <wp:simplePos x="0" y="0"/>
                <wp:positionH relativeFrom="column">
                  <wp:posOffset>501015</wp:posOffset>
                </wp:positionH>
                <wp:positionV relativeFrom="paragraph">
                  <wp:posOffset>-3248563</wp:posOffset>
                </wp:positionV>
                <wp:extent cx="1485900" cy="977265"/>
                <wp:effectExtent l="0" t="0" r="19050" b="13970"/>
                <wp:wrapNone/>
                <wp:docPr id="40" name="Πλαίσιο κειμένου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77265"/>
                        </a:xfrm>
                        <a:prstGeom prst="rect">
                          <a:avLst/>
                        </a:prstGeom>
                        <a:solidFill>
                          <a:srgbClr val="FFFFFF"/>
                        </a:solidFill>
                        <a:ln w="9525">
                          <a:solidFill>
                            <a:srgbClr val="000000"/>
                          </a:solidFill>
                          <a:miter lim="800000"/>
                          <a:headEnd/>
                          <a:tailEnd/>
                        </a:ln>
                      </wps:spPr>
                      <wps:txbx>
                        <w:txbxContent>
                          <w:p w14:paraId="0D7CCC1F" w14:textId="77777777" w:rsidR="00946283" w:rsidRPr="009D4441" w:rsidRDefault="00946283" w:rsidP="00946283">
                            <w:r w:rsidRPr="009D4441">
                              <w:t xml:space="preserve">Σύγχρονο </w:t>
                            </w:r>
                            <w:r w:rsidRPr="009D4441">
                              <w:t>τεχνικό σύστημα (μικροηλεκτρονική,  ρομποτική, πληροφορική)</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BF84DA" id="Πλαίσιο κειμένου 35" o:spid="_x0000_s1053" type="#_x0000_t202" style="position:absolute;left:0;text-align:left;margin-left:39.45pt;margin-top:-255.8pt;width:117pt;height:7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">
                <v:textbox style="mso-fit-shape-to-text:t">
                  <w:txbxContent>
                    <w:p w14:paraId="0D7CCC1F" w14:textId="77777777" w:rsidR="00946283" w:rsidRPr="009D4441" w:rsidRDefault="00946283" w:rsidP="00946283">
                      <w:r w:rsidRPr="009D4441">
                        <w:t xml:space="preserve">Σύγχρονο </w:t>
                      </w:r>
                      <w:r w:rsidRPr="009D4441">
                        <w:t>τεχνικό σύστημα (μικροηλεκτρονική,  ρομποτική, πληροφορική)</w:t>
                      </w:r>
                    </w:p>
                  </w:txbxContent>
                </v:textbox>
              </v:shape>
            </w:pict>
          </mc:Fallback>
        </mc:AlternateContent>
      </w:r>
      <w:r w:rsidRPr="00114A7A">
        <w:rPr>
          <w:noProof/>
          <w:sz w:val="20"/>
          <w:szCs w:val="20"/>
        </w:rPr>
        <mc:AlternateContent>
          <mc:Choice Requires="wps">
            <w:drawing>
              <wp:anchor distT="0" distB="0" distL="114300" distR="114300" simplePos="0" relativeHeight="251661312" behindDoc="0" locked="0" layoutInCell="1" allowOverlap="1" wp14:anchorId="6CFF5F38" wp14:editId="1BF4E05B">
                <wp:simplePos x="0" y="0"/>
                <wp:positionH relativeFrom="column">
                  <wp:posOffset>4190365</wp:posOffset>
                </wp:positionH>
                <wp:positionV relativeFrom="paragraph">
                  <wp:posOffset>-5413375</wp:posOffset>
                </wp:positionV>
                <wp:extent cx="1485900" cy="451485"/>
                <wp:effectExtent l="0" t="0" r="19050" b="25400"/>
                <wp:wrapNone/>
                <wp:docPr id="41" name="Πλαίσιο κειμένου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1485"/>
                        </a:xfrm>
                        <a:prstGeom prst="rect">
                          <a:avLst/>
                        </a:prstGeom>
                        <a:solidFill>
                          <a:srgbClr val="FFFFFF"/>
                        </a:solidFill>
                        <a:ln w="9525">
                          <a:solidFill>
                            <a:srgbClr val="000000"/>
                          </a:solidFill>
                          <a:miter lim="800000"/>
                          <a:headEnd/>
                          <a:tailEnd/>
                        </a:ln>
                      </wps:spPr>
                      <wps:txbx>
                        <w:txbxContent>
                          <w:p w14:paraId="07AF79E9" w14:textId="77777777" w:rsidR="00946283" w:rsidRPr="00E32566" w:rsidRDefault="00946283" w:rsidP="00946283">
                            <w:r>
                              <w:t xml:space="preserve">Ρύθμιση </w:t>
                            </w:r>
                            <w:r>
                              <w:t>παραβατικότητας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FF5F38" id="Πλαίσιο κειμένου 34" o:spid="_x0000_s1054" type="#_x0000_t202" style="position:absolute;left:0;text-align:left;margin-left:329.95pt;margin-top:-426.25pt;width:117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">
                <v:textbox style="mso-fit-shape-to-text:t">
                  <w:txbxContent>
                    <w:p w14:paraId="07AF79E9" w14:textId="77777777" w:rsidR="00946283" w:rsidRPr="00E32566" w:rsidRDefault="00946283" w:rsidP="00946283">
                      <w:r>
                        <w:t xml:space="preserve">Ρύθμιση </w:t>
                      </w:r>
                      <w:r>
                        <w:t>παραβατικότητας</w:t>
                      </w:r>
                    </w:p>
                  </w:txbxContent>
                </v:textbox>
              </v:shape>
            </w:pict>
          </mc:Fallback>
        </mc:AlternateContent>
      </w:r>
      <w:r w:rsidRPr="00114A7A">
        <w:rPr>
          <w:noProof/>
          <w:sz w:val="20"/>
          <w:szCs w:val="20"/>
        </w:rPr>
        <mc:AlternateContent>
          <mc:Choice Requires="wps">
            <w:drawing>
              <wp:anchor distT="0" distB="0" distL="114300" distR="114300" simplePos="0" relativeHeight="251660288" behindDoc="0" locked="0" layoutInCell="1" allowOverlap="1" wp14:anchorId="1C4FC406" wp14:editId="3B1FE02A">
                <wp:simplePos x="0" y="0"/>
                <wp:positionH relativeFrom="column">
                  <wp:posOffset>2385695</wp:posOffset>
                </wp:positionH>
                <wp:positionV relativeFrom="paragraph">
                  <wp:posOffset>-5420360</wp:posOffset>
                </wp:positionV>
                <wp:extent cx="1485900" cy="451485"/>
                <wp:effectExtent l="0" t="0" r="19050" b="25400"/>
                <wp:wrapNone/>
                <wp:docPr id="42" name="Πλαίσιο κειμένου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1485"/>
                        </a:xfrm>
                        <a:prstGeom prst="rect">
                          <a:avLst/>
                        </a:prstGeom>
                        <a:solidFill>
                          <a:srgbClr val="FFFFFF"/>
                        </a:solidFill>
                        <a:ln w="9525">
                          <a:solidFill>
                            <a:srgbClr val="000000"/>
                          </a:solidFill>
                          <a:miter lim="800000"/>
                          <a:headEnd/>
                          <a:tailEnd/>
                        </a:ln>
                      </wps:spPr>
                      <wps:txbx>
                        <w:txbxContent>
                          <w:p w14:paraId="71E49F68" w14:textId="77777777" w:rsidR="00946283" w:rsidRPr="00E32566" w:rsidRDefault="00946283" w:rsidP="00946283">
                            <w:r>
                              <w:t>Αναδιανομή του πλούτου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FC406" id="Πλαίσιο κειμένου 33" o:spid="_x0000_s1055" type="#_x0000_t202" style="position:absolute;left:0;text-align:left;margin-left:187.85pt;margin-top:-426.8pt;width:117pt;height: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">
                <v:textbox style="mso-fit-shape-to-text:t">
                  <w:txbxContent>
                    <w:p w14:paraId="71E49F68" w14:textId="77777777" w:rsidR="00946283" w:rsidRPr="00E32566" w:rsidRDefault="00946283" w:rsidP="00946283">
                      <w:r>
                        <w:t>Αναδιανομή του πλούτου</w:t>
                      </w:r>
                    </w:p>
                  </w:txbxContent>
                </v:textbox>
              </v:shape>
            </w:pict>
          </mc:Fallback>
        </mc:AlternateContent>
      </w:r>
    </w:p>
    <w:p w14:paraId="0FA86E4A" w14:textId="77777777" w:rsidR="00946283" w:rsidRDefault="00946283" w:rsidP="00946283">
      <w:pPr>
        <w:spacing w:before="60" w:after="60"/>
        <w:jc w:val="both"/>
      </w:pPr>
      <w:r w:rsidRPr="00114A7A">
        <w:t xml:space="preserve">Για το οπτικοακουστικό έργο, το οποίο υπόκειται επίσης σε πολιτιστικά, κοινωνικά ή και πολιτικά ακόμη κριτήρια παραγωγής, η υπαγωγή του στο σύστημα της νέας οικονομίας δημιουργεί την ανάγκη άμεσης προσαρμογής στο συνεχώς μεταβαλλόμενο τεχνο-οικονομικό περιβάλλον με επιπτώσεις τόσο στο επίπεδο της θεματολογίας που διαπραγματεύεται όσο και στο επίπεδο της ελκυστικής παρουσίασής του σε ένα διεθνές κοινό. </w:t>
      </w:r>
    </w:p>
    <w:p w14:paraId="3FB09D3E" w14:textId="77777777" w:rsidR="001E4F1E" w:rsidRPr="00115004" w:rsidRDefault="001E4F1E" w:rsidP="00D75845">
      <w:pPr>
        <w:spacing w:before="60" w:after="60"/>
        <w:jc w:val="both"/>
      </w:pPr>
    </w:p>
    <w:p w14:paraId="758D287D" w14:textId="77777777" w:rsidR="00350F2A" w:rsidRPr="00121C44" w:rsidRDefault="00350F2A" w:rsidP="00D75845">
      <w:pPr>
        <w:spacing w:before="60" w:after="60"/>
        <w:jc w:val="both"/>
        <w:rPr>
          <w:b/>
          <w:lang w:val="en-GB"/>
        </w:rPr>
      </w:pPr>
      <w:r>
        <w:rPr>
          <w:b/>
        </w:rPr>
        <w:t>Ο</w:t>
      </w:r>
      <w:r w:rsidRPr="00121C44">
        <w:rPr>
          <w:b/>
          <w:lang w:val="en-GB"/>
        </w:rPr>
        <w:t xml:space="preserve"> </w:t>
      </w:r>
      <w:r>
        <w:rPr>
          <w:b/>
        </w:rPr>
        <w:t>ρόλος</w:t>
      </w:r>
      <w:r w:rsidRPr="00121C44">
        <w:rPr>
          <w:b/>
          <w:lang w:val="en-GB"/>
        </w:rPr>
        <w:t xml:space="preserve"> </w:t>
      </w:r>
      <w:r>
        <w:rPr>
          <w:b/>
        </w:rPr>
        <w:t>του</w:t>
      </w:r>
      <w:r w:rsidRPr="00121C44">
        <w:rPr>
          <w:b/>
          <w:lang w:val="en-GB"/>
        </w:rPr>
        <w:t xml:space="preserve"> </w:t>
      </w:r>
      <w:r>
        <w:rPr>
          <w:b/>
        </w:rPr>
        <w:t>δημιουργού</w:t>
      </w:r>
      <w:r w:rsidRPr="00121C44">
        <w:rPr>
          <w:b/>
          <w:lang w:val="en-GB"/>
        </w:rPr>
        <w:t xml:space="preserve"> </w:t>
      </w:r>
      <w:r>
        <w:rPr>
          <w:b/>
        </w:rPr>
        <w:t>μεταβάλλεται</w:t>
      </w:r>
    </w:p>
    <w:p w14:paraId="435742DD" w14:textId="77777777" w:rsidR="006F1A47" w:rsidRPr="00377016" w:rsidRDefault="006F1A47" w:rsidP="00D75845">
      <w:pPr>
        <w:spacing w:before="60" w:after="60"/>
        <w:jc w:val="both"/>
        <w:rPr>
          <w:lang w:val="en-US"/>
        </w:rPr>
      </w:pPr>
      <w:r w:rsidRPr="00377016">
        <w:rPr>
          <w:i/>
          <w:iCs/>
          <w:lang w:val="en-US"/>
        </w:rPr>
        <w:t>Wh</w:t>
      </w:r>
      <w:r>
        <w:rPr>
          <w:i/>
          <w:iCs/>
          <w:lang w:val="en-US"/>
        </w:rPr>
        <w:t xml:space="preserve">en I first started, you would </w:t>
      </w:r>
      <w:r w:rsidRPr="00377016">
        <w:rPr>
          <w:i/>
          <w:iCs/>
          <w:lang w:val="en-US"/>
        </w:rPr>
        <w:t xml:space="preserve">pitch a story because without a good story you </w:t>
      </w:r>
      <w:proofErr w:type="gramStart"/>
      <w:r w:rsidRPr="00377016">
        <w:rPr>
          <w:i/>
          <w:iCs/>
          <w:lang w:val="en-US"/>
        </w:rPr>
        <w:t>didn’t</w:t>
      </w:r>
      <w:proofErr w:type="gramEnd"/>
      <w:r w:rsidRPr="00377016">
        <w:rPr>
          <w:i/>
          <w:iCs/>
          <w:lang w:val="en-US"/>
        </w:rPr>
        <w:t xml:space="preserve"> really have a film. Later, once sequels started to take off, you pitched a character because a good character could support multiple stories. And now, you pitch a world because a world can support multiple characters and multiple stories across multiple media. </w:t>
      </w:r>
    </w:p>
    <w:p w14:paraId="05ACF114" w14:textId="77777777" w:rsidR="006F1A47" w:rsidRDefault="006F1A47" w:rsidP="00D75845">
      <w:pPr>
        <w:spacing w:before="60" w:after="60"/>
        <w:jc w:val="both"/>
      </w:pPr>
      <w:r w:rsidRPr="00377016">
        <w:t>Henry Jenkins</w:t>
      </w:r>
    </w:p>
    <w:p w14:paraId="56A9491B" w14:textId="77777777" w:rsidR="006F1A47" w:rsidRDefault="006F1A47" w:rsidP="00D75845">
      <w:pPr>
        <w:spacing w:before="60" w:after="60"/>
        <w:jc w:val="both"/>
      </w:pPr>
    </w:p>
    <w:p w14:paraId="6019C4F3" w14:textId="77777777" w:rsidR="00946283" w:rsidRDefault="006F1A47" w:rsidP="00D75845">
      <w:pPr>
        <w:spacing w:before="60" w:after="60"/>
        <w:jc w:val="both"/>
      </w:pPr>
      <w:r>
        <w:lastRenderedPageBreak/>
        <w:t>Δεν υπάρχει καλύτερη σύνοψη για τις αλλαγές στη δημιουργική πρακτική που επιφέρουν οι νέες τεχνολογίες</w:t>
      </w:r>
      <w:r w:rsidRPr="0029146F">
        <w:t>,</w:t>
      </w:r>
      <w:r>
        <w:t xml:space="preserve"> από τη συμπυκνωμένη εμπειρία που μεταφέρει ο εμπνευστής της έννοιας διαμεσικής αφήγησης </w:t>
      </w:r>
      <w:r>
        <w:rPr>
          <w:lang w:val="en-US"/>
        </w:rPr>
        <w:t>Henry</w:t>
      </w:r>
      <w:r w:rsidRPr="00377016">
        <w:t xml:space="preserve"> </w:t>
      </w:r>
      <w:r>
        <w:rPr>
          <w:lang w:val="en-US"/>
        </w:rPr>
        <w:t>Jenkins</w:t>
      </w:r>
      <w:r w:rsidRPr="00377016">
        <w:t xml:space="preserve"> </w:t>
      </w:r>
      <w:r>
        <w:t xml:space="preserve">στην ανωτέρω παρατιθέμενη παράγραφο. Από την προσαρμογή της Αριστοτελικής </w:t>
      </w:r>
      <w:r w:rsidRPr="00705FA2">
        <w:rPr>
          <w:i/>
        </w:rPr>
        <w:t>Ποιητικής</w:t>
      </w:r>
      <w:r>
        <w:t xml:space="preserve"> στον κινηματογράφο του Χόλυγουντ, με την περιγραφή των μηχανισμών της πλοκής σε τρεις πράξεις, ώστε να έχουμε ένα στέρεο μύθο να υποστηρίζει τη δράση των πρωταγωνιστών, περάσαμε στην τηλεοπτική λογική της σειράς και των επεισοδίων, όπου το κίνητρο και η περιγραφή του χαρακτήρα του ήρωα έδινε τροφή στην εξιστόρηση πολλών περιπετειών του πρωταγωνιστή σε διαφορετικές καταστάσεις κάθε φορά, τα λεγόμενα αυτοτελή επεισόδια. </w:t>
      </w:r>
    </w:p>
    <w:p w14:paraId="37667D88" w14:textId="72090BE2" w:rsidR="006F1A47" w:rsidRDefault="006F1A47" w:rsidP="00D75845">
      <w:pPr>
        <w:spacing w:before="60" w:after="60"/>
        <w:jc w:val="both"/>
      </w:pPr>
      <w:r>
        <w:t>Σήμερα, με τις οθόνες κατανάλωσης του θεάματος να έχουν πολλαπλασιαστεί, με τους νεότερους χρήστες να κάνουν χρήση περισσότερων οθονών ή άλλων μέσων ταυτόχρονα κατά την πρόσληψη του έργου, ο δημιουργός (ή καλύτερα η δημιουργική ομάδα που σχεδιάζει το έργο) ωθείται προς την κοσμοπλασία, τη δημιουργία ενός κόσμου που θα υποστηρίξει πολλαπλές ιστορίες πολλαπλών χαρακτήρων σε πολλαπλά μέσα.</w:t>
      </w:r>
    </w:p>
    <w:p w14:paraId="71EA9362" w14:textId="77777777" w:rsidR="00350F2A" w:rsidRDefault="00350F2A" w:rsidP="00D75845">
      <w:pPr>
        <w:spacing w:before="60" w:after="60"/>
        <w:jc w:val="both"/>
        <w:rPr>
          <w:b/>
        </w:rPr>
      </w:pPr>
    </w:p>
    <w:p w14:paraId="4F2513A8" w14:textId="77777777" w:rsidR="00350F2A" w:rsidRPr="00350F2A" w:rsidRDefault="00350F2A" w:rsidP="00D75845">
      <w:pPr>
        <w:spacing w:before="60" w:after="60"/>
        <w:jc w:val="both"/>
        <w:rPr>
          <w:b/>
        </w:rPr>
      </w:pPr>
      <w:r w:rsidRPr="00350F2A">
        <w:rPr>
          <w:b/>
        </w:rPr>
        <w:t>Ο ρόλος του κοινού αλλάζει</w:t>
      </w:r>
    </w:p>
    <w:p w14:paraId="5C6FF403" w14:textId="77777777" w:rsidR="006F1A47" w:rsidRDefault="006F1A47" w:rsidP="00D75845">
      <w:pPr>
        <w:spacing w:before="60" w:after="60"/>
        <w:jc w:val="both"/>
      </w:pPr>
      <w:r>
        <w:t>Η αυξανόμενη πολυπλοκότητα του σχεδιαστικού πλαισίου που υποστηρίζει τη διαμεσική αφήγηση δεν οφείλεται μόνο στην άνθιση των ψηφιακών τεχνολογιών, αλλά και στις νέες δυνατότητες που προσφέρονται στους χρήστες αυτών των τεχνολογιών για να ενσωματωθούν στα δρώμενα, να διαμοιραστούν τα έργα και να συμμετάσχουν σε ψηφιακές κοινότητες ενώ ταυτόχρονα ψυχαγωγούνται. Μπορούμε να μιλάμε ακόμα για ένα κοινό;</w:t>
      </w:r>
    </w:p>
    <w:p w14:paraId="4DF10B14" w14:textId="77777777" w:rsidR="001E4F1E" w:rsidRDefault="00350F2A" w:rsidP="00D75845">
      <w:pPr>
        <w:keepNext/>
        <w:spacing w:before="60" w:after="60"/>
        <w:jc w:val="both"/>
      </w:pPr>
      <w:r>
        <w:rPr>
          <w:noProof/>
        </w:rPr>
        <w:drawing>
          <wp:inline distT="0" distB="0" distL="0" distR="0" wp14:anchorId="2EB20662" wp14:editId="7EABA993">
            <wp:extent cx="3210791" cy="1691985"/>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8192" cy="1690615"/>
                    </a:xfrm>
                    <a:prstGeom prst="rect">
                      <a:avLst/>
                    </a:prstGeom>
                    <a:noFill/>
                    <a:ln>
                      <a:noFill/>
                    </a:ln>
                  </pic:spPr>
                </pic:pic>
              </a:graphicData>
            </a:graphic>
          </wp:inline>
        </w:drawing>
      </w:r>
    </w:p>
    <w:p w14:paraId="3342DF00" w14:textId="77777777" w:rsidR="006F1A47" w:rsidRPr="000A1834" w:rsidRDefault="001E4F1E" w:rsidP="00D75845">
      <w:pPr>
        <w:pStyle w:val="Caption"/>
        <w:jc w:val="both"/>
      </w:pPr>
      <w:r>
        <w:t>Το κοινό είναι νεανικό και μπορεί να συνεργάζεται ή να απομονώνεται κατά βούληση</w:t>
      </w:r>
    </w:p>
    <w:p w14:paraId="2771C996" w14:textId="77777777" w:rsidR="006F1A47" w:rsidRDefault="006F1A47" w:rsidP="00D75845">
      <w:pPr>
        <w:spacing w:before="60" w:after="60"/>
        <w:jc w:val="both"/>
      </w:pPr>
    </w:p>
    <w:p w14:paraId="534F3703" w14:textId="77777777" w:rsidR="00350F2A" w:rsidRPr="00350F2A" w:rsidRDefault="00350F2A" w:rsidP="00D75845">
      <w:pPr>
        <w:spacing w:before="60" w:after="60"/>
        <w:jc w:val="both"/>
        <w:rPr>
          <w:b/>
        </w:rPr>
      </w:pPr>
      <w:r w:rsidRPr="00350F2A">
        <w:rPr>
          <w:b/>
        </w:rPr>
        <w:t>Η δημιουργική διαδικασία επεκτείνεται</w:t>
      </w:r>
    </w:p>
    <w:p w14:paraId="20FE5EC9" w14:textId="77777777" w:rsidR="00350F2A" w:rsidRDefault="006F1A47" w:rsidP="00D75845">
      <w:pPr>
        <w:spacing w:before="60" w:after="60"/>
        <w:jc w:val="both"/>
      </w:pPr>
      <w:r>
        <w:t xml:space="preserve">Η σχεδιαστική διαδικασία, ήδη από τα παραδοσιακά μέσα διανομής αφηγηματικών έργων, υπηρετούσε το σκηνοθετικό σχέδιο, τη σκηνοθεσία, αποδίδοντας αρχικά με κείμενα, στη συνέχεια με εικονογραφημένα σενάρια και τελικά με πιλοτικά δείγματα του έργου, τη σκηνοθετική προσέγγιση. Ο σκηνοθέτης αντιμετωπιζόταν ως ξεναγός σε έναν εξωτικό κόσμο, στον οποίο ξεναγούσε το θεατή, επομένως οι μηχανισμοί ανάδειξης του ταξιδιού έπρεπε να σχεδιαστούν εκ των προτέρων για να είναι ενδιαφέρουσα η ξενάγηση. Οι ψηφιακές τεχνολογίες όμως έκαναν την πολύπλευρη ξενάγηση με διαφορετικές διαδρομές μια ολοένα και περισσότερο αναπτυσσόμενη σκηνοθετική προσέγγιση. Η ξενάγηση του κοινού όφειλε πλέον να λάβει υπόψη τις νέες δυνατότητες του χρήστη ψηφιακών τεχνολογιών για εμβύθιση στην ιστορία, παιχνίδι και συμμετοχή στα δρώμενα. </w:t>
      </w:r>
    </w:p>
    <w:p w14:paraId="5986FFB0" w14:textId="77777777" w:rsidR="00841B82" w:rsidRDefault="00350F2A" w:rsidP="00D75845">
      <w:pPr>
        <w:keepNext/>
        <w:spacing w:before="60" w:after="60"/>
        <w:jc w:val="both"/>
      </w:pPr>
      <w:r>
        <w:rPr>
          <w:noProof/>
        </w:rPr>
        <w:lastRenderedPageBreak/>
        <w:drawing>
          <wp:inline distT="0" distB="0" distL="0" distR="0" wp14:anchorId="1A9573A7" wp14:editId="72827BE5">
            <wp:extent cx="2296391" cy="219886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7654" cy="2200072"/>
                    </a:xfrm>
                    <a:prstGeom prst="rect">
                      <a:avLst/>
                    </a:prstGeom>
                    <a:noFill/>
                    <a:ln>
                      <a:noFill/>
                    </a:ln>
                  </pic:spPr>
                </pic:pic>
              </a:graphicData>
            </a:graphic>
          </wp:inline>
        </w:drawing>
      </w:r>
    </w:p>
    <w:p w14:paraId="2B0BE565" w14:textId="77777777" w:rsidR="00350F2A" w:rsidRDefault="00841B82" w:rsidP="00D75845">
      <w:pPr>
        <w:pStyle w:val="Caption"/>
        <w:jc w:val="both"/>
      </w:pPr>
      <w:r>
        <w:t>Αφήγηση, Διάδραση, Συμμετοχή, Υλική Πραγματικότητα αποτελούν τους σχεδιαστικούς χώρους προς εξερεύνηση σε κάθε έργο</w:t>
      </w:r>
    </w:p>
    <w:p w14:paraId="026C2119" w14:textId="77777777" w:rsidR="00642F1F" w:rsidRDefault="00642F1F" w:rsidP="00D75845">
      <w:pPr>
        <w:spacing w:before="60" w:after="60"/>
        <w:jc w:val="both"/>
        <w:rPr>
          <w:b/>
        </w:rPr>
      </w:pPr>
    </w:p>
    <w:p w14:paraId="093E618D" w14:textId="77777777" w:rsidR="00350F2A" w:rsidRPr="00350F2A" w:rsidRDefault="00350F2A" w:rsidP="00D75845">
      <w:pPr>
        <w:spacing w:before="60" w:after="60"/>
        <w:jc w:val="both"/>
        <w:rPr>
          <w:b/>
        </w:rPr>
      </w:pPr>
      <w:r w:rsidRPr="00350F2A">
        <w:rPr>
          <w:b/>
        </w:rPr>
        <w:t>Η σχεδιαστική προσέγγιση επιβάλλεται</w:t>
      </w:r>
    </w:p>
    <w:p w14:paraId="39310ACF" w14:textId="77777777" w:rsidR="006F1A47" w:rsidRDefault="006F1A47" w:rsidP="00D75845">
      <w:pPr>
        <w:spacing w:before="60" w:after="60"/>
        <w:jc w:val="both"/>
      </w:pPr>
      <w:r>
        <w:t>Είναι φυσικό σε τέτοιες συνθ</w:t>
      </w:r>
      <w:r w:rsidR="00350F2A">
        <w:t xml:space="preserve">ήκες να επικρατήσει πλήρως η </w:t>
      </w:r>
      <w:r>
        <w:t xml:space="preserve">σχεδιαστική λογική, το </w:t>
      </w:r>
      <w:r>
        <w:rPr>
          <w:lang w:val="en-US"/>
        </w:rPr>
        <w:t>design</w:t>
      </w:r>
      <w:r w:rsidRPr="00494383">
        <w:t xml:space="preserve"> </w:t>
      </w:r>
      <w:r>
        <w:rPr>
          <w:lang w:val="en-US"/>
        </w:rPr>
        <w:t>thinking</w:t>
      </w:r>
      <w:r>
        <w:t xml:space="preserve">, η οποία στηρίζεται σε επαναλαμβανόμενους κύκλους αξιολόγησης. Στα παραδοσιακά μέσα, το Χόλυγουντ εισήγαγε το </w:t>
      </w:r>
      <w:r>
        <w:rPr>
          <w:lang w:val="en-US"/>
        </w:rPr>
        <w:t>sneak</w:t>
      </w:r>
      <w:r w:rsidRPr="00494383">
        <w:t xml:space="preserve"> </w:t>
      </w:r>
      <w:r>
        <w:rPr>
          <w:lang w:val="en-US"/>
        </w:rPr>
        <w:t>preview</w:t>
      </w:r>
      <w:r>
        <w:t>, την παρουσίαση του ολοκληρωμένου κινηματογραφικού έργου σε δοκιμαστικές προβολές, όπου μπορούσε να μετρήσει δειγματοληπτικά την απήχηση που θα είχε στο κοινό στη διάρκεια της κανονικής διανομής. Στα παιχνίδια Η/Υ, καλούνται επιλεγμένοι παίκτες να τερματίσουν τις πρώτες εκδοχές των παιχνιδιών πριν βγουν οριστικά στην αγορά. Η πολυπλοκότητα μιας διαμεσικής αφήγησης απαιτεί την πλήρη εφαρμογή του σχεδιαστικού κύκλου, ενσωματώνοντας τις προσδοκίες των χρηστών αλλά και τις παρατηρήσεις μετά από τεστ, όπως φαίνεται στο κλασικό σχήμα παρακάτω.</w:t>
      </w:r>
    </w:p>
    <w:p w14:paraId="29787498" w14:textId="77777777" w:rsidR="00642F1F" w:rsidRDefault="00350F2A" w:rsidP="00D75845">
      <w:pPr>
        <w:keepNext/>
        <w:spacing w:before="60" w:after="60"/>
        <w:jc w:val="both"/>
      </w:pPr>
      <w:r>
        <w:rPr>
          <w:noProof/>
        </w:rPr>
        <w:drawing>
          <wp:inline distT="0" distB="0" distL="0" distR="0" wp14:anchorId="12D8032B" wp14:editId="03FE4F95">
            <wp:extent cx="5274310" cy="20929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092960"/>
                    </a:xfrm>
                    <a:prstGeom prst="rect">
                      <a:avLst/>
                    </a:prstGeom>
                    <a:noFill/>
                    <a:ln>
                      <a:noFill/>
                    </a:ln>
                  </pic:spPr>
                </pic:pic>
              </a:graphicData>
            </a:graphic>
          </wp:inline>
        </w:drawing>
      </w:r>
    </w:p>
    <w:p w14:paraId="0D1DA7C4" w14:textId="77777777" w:rsidR="00642F1F" w:rsidRDefault="00642F1F" w:rsidP="00D75845">
      <w:pPr>
        <w:pStyle w:val="Caption"/>
        <w:jc w:val="both"/>
      </w:pPr>
      <w:r>
        <w:t>Ο κλασικός κύκλος σχεδίασης: προδιαγραφές από το κοινό, καθορισμός πλαισίου, σχεδιαστικές λύσεις, πρωτοτυποποίηση, αξιολόγηση και ανάδραση</w:t>
      </w:r>
    </w:p>
    <w:p w14:paraId="45B9B4B0" w14:textId="77777777" w:rsidR="006F1A47" w:rsidRDefault="006F1A47" w:rsidP="00D75845">
      <w:pPr>
        <w:spacing w:before="60" w:after="60"/>
        <w:jc w:val="both"/>
      </w:pPr>
      <w:r>
        <w:t xml:space="preserve"> </w:t>
      </w:r>
    </w:p>
    <w:p w14:paraId="00559D68" w14:textId="77777777" w:rsidR="006F1A47" w:rsidRPr="005B2742" w:rsidRDefault="006F1A47" w:rsidP="00D75845">
      <w:pPr>
        <w:spacing w:before="60" w:after="60"/>
        <w:jc w:val="both"/>
      </w:pPr>
      <w:r w:rsidRPr="0074289F">
        <w:t>Η</w:t>
      </w:r>
      <w:r>
        <w:t xml:space="preserve"> σχεδιαστική διαδικασία είναι αποτελεσματική όταν τελείται συλλογική εργασία. Οι συνήθεις ειδικότητες που χρησιμοποιούνται στη σχεδίαση αφηγήσεων περιλαμβάνουν τον δημιουργό (σκηνοθέτη, σεναριογράφο), τον καλλιτεχνικό σύμβουλο, τον παραγωγό, γραφίστα ή </w:t>
      </w:r>
      <w:r>
        <w:rPr>
          <w:lang w:val="en-US"/>
        </w:rPr>
        <w:t>game</w:t>
      </w:r>
      <w:r w:rsidRPr="0074289F">
        <w:t xml:space="preserve"> </w:t>
      </w:r>
      <w:r>
        <w:rPr>
          <w:lang w:val="en-US"/>
        </w:rPr>
        <w:t>designer</w:t>
      </w:r>
      <w:r>
        <w:t>, ανάλογα με τα προτεινόμενα μέσα διανομής του έργου.</w:t>
      </w:r>
    </w:p>
    <w:p w14:paraId="6F844D9C" w14:textId="77777777" w:rsidR="00D853B6" w:rsidRDefault="00350F2A" w:rsidP="00D75845">
      <w:pPr>
        <w:keepNext/>
        <w:spacing w:before="60" w:after="60"/>
        <w:jc w:val="both"/>
      </w:pPr>
      <w:r>
        <w:rPr>
          <w:noProof/>
        </w:rPr>
        <w:lastRenderedPageBreak/>
        <w:drawing>
          <wp:inline distT="0" distB="0" distL="0" distR="0" wp14:anchorId="4E3FBB21" wp14:editId="7DFABD12">
            <wp:extent cx="5274310" cy="27940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794000"/>
                    </a:xfrm>
                    <a:prstGeom prst="rect">
                      <a:avLst/>
                    </a:prstGeom>
                    <a:noFill/>
                    <a:ln>
                      <a:noFill/>
                    </a:ln>
                  </pic:spPr>
                </pic:pic>
              </a:graphicData>
            </a:graphic>
          </wp:inline>
        </w:drawing>
      </w:r>
    </w:p>
    <w:p w14:paraId="41A247AB" w14:textId="77777777" w:rsidR="006F1A47" w:rsidRDefault="00D853B6" w:rsidP="00D75845">
      <w:pPr>
        <w:pStyle w:val="Caption"/>
        <w:jc w:val="both"/>
        <w:rPr>
          <w:b w:val="0"/>
        </w:rPr>
      </w:pPr>
      <w:r>
        <w:t>Η δημιουργική ομάδα αποτελείται από 4-5 ειδικότητες και σχεδιάζει συλλογικά</w:t>
      </w:r>
    </w:p>
    <w:p w14:paraId="09A445DD" w14:textId="77777777" w:rsidR="00350F2A" w:rsidRDefault="00350F2A" w:rsidP="00D75845">
      <w:pPr>
        <w:spacing w:before="60" w:after="60"/>
        <w:jc w:val="both"/>
        <w:rPr>
          <w:b/>
        </w:rPr>
      </w:pPr>
    </w:p>
    <w:p w14:paraId="7E18E17C" w14:textId="77777777" w:rsidR="006F1A47" w:rsidRPr="00E01C93" w:rsidRDefault="003F2D0F" w:rsidP="00D75845">
      <w:pPr>
        <w:spacing w:before="60" w:after="60"/>
        <w:jc w:val="both"/>
        <w:rPr>
          <w:b/>
        </w:rPr>
      </w:pPr>
      <w:r>
        <w:rPr>
          <w:b/>
        </w:rPr>
        <w:t>Ο ρόλος της δημιουργικής ομάδας</w:t>
      </w:r>
    </w:p>
    <w:p w14:paraId="1B8F46B6" w14:textId="77777777" w:rsidR="006F1A47" w:rsidRDefault="006F1A47" w:rsidP="00D75845">
      <w:pPr>
        <w:spacing w:before="60" w:after="60"/>
        <w:jc w:val="both"/>
      </w:pPr>
      <w:r>
        <w:t xml:space="preserve">Τη στιγμή που οι ψηφιακές τεχνολογίες έχουν μετασχηματίσει τα παραδοσιακά κανάλια διανομής οπτικοακουστικών και διαδραστικών έργων, φαίνεται να μετασχηματίζουν ταυτόχρονα τη δημιουργική πράξη, αφού, όπως είπαμε παραπάνω, ο δημιουργός (ή καλύτερα η δημιουργική ομάδα που σχεδιάζει το έργο) ωθείται προς την κοσμοπλασία, τη δημιουργία ενός κόσμου που θα υποστηρίξει πολλαπλές ιστορίες πολλαπλών χαρακτήρων σε πολλαπλά μέσα. </w:t>
      </w:r>
    </w:p>
    <w:p w14:paraId="629886E9" w14:textId="77777777" w:rsidR="006F1A47" w:rsidRDefault="006F1A47" w:rsidP="00D75845">
      <w:pPr>
        <w:spacing w:before="60" w:after="60"/>
        <w:jc w:val="both"/>
      </w:pPr>
      <w:r>
        <w:t xml:space="preserve">Αυτό που αποκρύπτεται στη φράση αυτή είναι η αρχική στοχοθεσία, η οποία επιβάλλει στο δημιουργό να κατευθύνει το κοινό μέσα από διαφορετικές ιστορίες για κάθε διαφορετικό μέσο με τρόπο τέτοιο που ο ταξιδιώτης στον κόσμο αυτό να βρίσκει νόημα στο διαμεσικό έργο μόνο όταν έχει επισκεφθεί όλα τα διαφορετικά μέσα, που του αποκαλύπτουν πλευρές του μύθου. </w:t>
      </w:r>
    </w:p>
    <w:p w14:paraId="107C8DD6" w14:textId="77777777" w:rsidR="006F1A47" w:rsidRDefault="006F1A47" w:rsidP="00D75845">
      <w:pPr>
        <w:spacing w:before="60" w:after="60"/>
        <w:jc w:val="both"/>
      </w:pPr>
      <w:r>
        <w:t>Για να πετύχει η δημιουργική ομάδα το επιδιωκόμενο αποτέλεσμα, έχουν δημιουργηθεί σχεδιαστικά πλαίσια, τα οποία είναι στην πραγματικότητα σχεδιαστικά κείμενα με ερωτήσεις που οφείλουν να απαντηθούν ώστε να τεθούν οι προδιαγραφές του έργου και να γίνει εφικτό το μοίρασμα των ιστοριών στα διάφορα μέσα.</w:t>
      </w:r>
    </w:p>
    <w:p w14:paraId="155A0185" w14:textId="77777777" w:rsidR="00904145" w:rsidRDefault="007D0ADE" w:rsidP="00D75845">
      <w:pPr>
        <w:keepNext/>
        <w:spacing w:before="60" w:after="60"/>
        <w:jc w:val="both"/>
      </w:pPr>
      <w:r>
        <w:rPr>
          <w:noProof/>
        </w:rPr>
        <w:lastRenderedPageBreak/>
        <w:drawing>
          <wp:inline distT="0" distB="0" distL="0" distR="0" wp14:anchorId="173464CF" wp14:editId="500C2A0C">
            <wp:extent cx="5274310" cy="27870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787015"/>
                    </a:xfrm>
                    <a:prstGeom prst="rect">
                      <a:avLst/>
                    </a:prstGeom>
                    <a:noFill/>
                    <a:ln>
                      <a:noFill/>
                    </a:ln>
                  </pic:spPr>
                </pic:pic>
              </a:graphicData>
            </a:graphic>
          </wp:inline>
        </w:drawing>
      </w:r>
    </w:p>
    <w:p w14:paraId="38F8F653" w14:textId="77777777" w:rsidR="006A7097" w:rsidRDefault="00904145" w:rsidP="00D75845">
      <w:pPr>
        <w:pStyle w:val="Caption"/>
        <w:jc w:val="both"/>
      </w:pPr>
      <w:r>
        <w:t>Τα περιεχόμενα της βίβλου σχεδίασης επεκτείνονται και σε θέματα κανόνων χρήσης εκτός της δραματουργίας</w:t>
      </w:r>
    </w:p>
    <w:p w14:paraId="420EB208" w14:textId="77777777" w:rsidR="007D0ADE" w:rsidRDefault="007D0ADE" w:rsidP="00D75845">
      <w:pPr>
        <w:spacing w:before="60" w:after="60"/>
        <w:jc w:val="both"/>
      </w:pPr>
    </w:p>
    <w:p w14:paraId="48D0BB9E" w14:textId="77777777" w:rsidR="006F1A47" w:rsidRDefault="006F1A47" w:rsidP="00D75845">
      <w:pPr>
        <w:spacing w:before="60" w:after="60"/>
        <w:jc w:val="both"/>
      </w:pPr>
      <w:r>
        <w:t xml:space="preserve">Μελετώντας τη δημιουργική πρακτική στο πλαίσιο της δημιουργίας διαμεσικών έργων, είναι σημαντικό να αναρωτηθεί κανείς πως επιδρά στη σχεδιαστική διαδικασία ο καθορισμός των μέσων διανομής εκ των προτέρων, πριν ακόμα τον καθορισμό της θεματολογίας. </w:t>
      </w:r>
      <w:r w:rsidR="003F2D0F">
        <w:t>Κ</w:t>
      </w:r>
      <w:r>
        <w:t>όμικς, παιχνίδια με υπολογιστή, εκθεσιακά δρώμενα</w:t>
      </w:r>
      <w:r w:rsidR="003F2D0F">
        <w:t>,</w:t>
      </w:r>
      <w:r>
        <w:t xml:space="preserve"> παραγωγή οπτικοακουστικών και διαδραστικών έργων, δικαιολογούν τον εκ των προτέρων καθορισμό των μέσων διανομής και θα έχει μεγάλο ενδιαφέρον να αναζητήσουμε την επίδραση των </w:t>
      </w:r>
      <w:r w:rsidR="003F2D0F">
        <w:t>επιλογών</w:t>
      </w:r>
      <w:r>
        <w:t xml:space="preserve"> αυτών στην τελική διαμεσική αφήγηση.</w:t>
      </w:r>
    </w:p>
    <w:p w14:paraId="0ABA66A8" w14:textId="77777777" w:rsidR="00DC3DA6" w:rsidRDefault="007D0ADE" w:rsidP="00D75845">
      <w:pPr>
        <w:keepNext/>
        <w:spacing w:before="60" w:after="60"/>
        <w:jc w:val="both"/>
      </w:pPr>
      <w:r>
        <w:rPr>
          <w:noProof/>
        </w:rPr>
        <w:drawing>
          <wp:inline distT="0" distB="0" distL="0" distR="0" wp14:anchorId="7DB5E7D2" wp14:editId="468B5ED9">
            <wp:extent cx="5274310" cy="27940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794000"/>
                    </a:xfrm>
                    <a:prstGeom prst="rect">
                      <a:avLst/>
                    </a:prstGeom>
                    <a:noFill/>
                    <a:ln>
                      <a:noFill/>
                    </a:ln>
                  </pic:spPr>
                </pic:pic>
              </a:graphicData>
            </a:graphic>
          </wp:inline>
        </w:drawing>
      </w:r>
    </w:p>
    <w:p w14:paraId="2C00EEBC" w14:textId="77777777" w:rsidR="007D0ADE" w:rsidRDefault="00DC3DA6" w:rsidP="00D75845">
      <w:pPr>
        <w:pStyle w:val="Caption"/>
        <w:jc w:val="both"/>
      </w:pPr>
      <w:r>
        <w:t>Τα χαρακτηριστικά των μέσων πρόσβασης στο περιεχόμενο επηρεάζουν τη σχεδίαση</w:t>
      </w:r>
    </w:p>
    <w:p w14:paraId="3AD36283" w14:textId="77777777" w:rsidR="007D0ADE" w:rsidRDefault="007D0ADE" w:rsidP="00D75845">
      <w:pPr>
        <w:spacing w:before="60" w:after="60"/>
        <w:jc w:val="both"/>
      </w:pPr>
    </w:p>
    <w:p w14:paraId="5A77089D" w14:textId="77777777" w:rsidR="007D0ADE" w:rsidRDefault="006F1A47" w:rsidP="00D75845">
      <w:pPr>
        <w:spacing w:before="60" w:after="60"/>
        <w:jc w:val="both"/>
      </w:pPr>
      <w:r>
        <w:t xml:space="preserve">Η προσέγγιση αυτή αναδεικνύει ένα ακόμα ερώτημα, σχεδόν αντίστροφο του προηγούμενου. Αν ακολουθηθεί λοιπόν το σχεδιαστικό πλαίσιο διαμεσικής αφήγησης για τη δημιουργία του έργου, υπάρχει σύγκριση με τα σχεδιαστικά πλαίσια των διαφόρων μεμονωμένων μέσων; Με άλλα λόγια τι αλλάζει όταν προκύπτει ένα οπτικοακουστικό έργο </w:t>
      </w:r>
      <w:r>
        <w:lastRenderedPageBreak/>
        <w:t xml:space="preserve">από μια διαδικασία σχεδίασης διαμεσικής αφήγησης σε σύγκριση με τη διαδικασία σχεδίασης ενός οπτικοακουστικού έργου μόνον; Το ερώτημα δεν είναι αθώο, γιατί τα σχεδιαστικά πλαίσια διαμεσικής αφήγησης δεν προέκυψαν από παρθενογένεση αλλά στηρίχτηκαν σε σχεδιαστικά πλαίσια παραδοσιακών μέσων. Ειδικό ενδιαφέρον έχει η αναζήτηση μηχανισμών ανάπτυξης του μύθου στα παραδοσιακά μέσα, οι οποίοι αποτέλεσαν τη μαγιά για την ανάπτυξη του παιχνιδιού και της συμμετοχής, χαρακτηριστικών απαραίτητων σε κάθε διαμεσική αφήγηση που σέβεται τους κανόνες σχεδίασης. </w:t>
      </w:r>
    </w:p>
    <w:p w14:paraId="239264C0" w14:textId="77777777" w:rsidR="00E75601" w:rsidRDefault="007D0ADE" w:rsidP="00D75845">
      <w:pPr>
        <w:keepNext/>
        <w:spacing w:before="60" w:after="60"/>
        <w:jc w:val="both"/>
      </w:pPr>
      <w:r>
        <w:rPr>
          <w:noProof/>
        </w:rPr>
        <w:drawing>
          <wp:inline distT="0" distB="0" distL="0" distR="0" wp14:anchorId="6BC27289" wp14:editId="1DB0EB75">
            <wp:extent cx="5274310" cy="27908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790825"/>
                    </a:xfrm>
                    <a:prstGeom prst="rect">
                      <a:avLst/>
                    </a:prstGeom>
                    <a:noFill/>
                    <a:ln>
                      <a:noFill/>
                    </a:ln>
                  </pic:spPr>
                </pic:pic>
              </a:graphicData>
            </a:graphic>
          </wp:inline>
        </w:drawing>
      </w:r>
    </w:p>
    <w:p w14:paraId="422FDAF0" w14:textId="77777777" w:rsidR="007D0ADE" w:rsidRDefault="00E75601" w:rsidP="00D75845">
      <w:pPr>
        <w:pStyle w:val="Caption"/>
        <w:jc w:val="both"/>
      </w:pPr>
      <w:r>
        <w:t xml:space="preserve">Η κλασική δραματουργική προσέγγιση του Αριστοτέλη στηρίζεται </w:t>
      </w:r>
      <w:r>
        <w:rPr>
          <w:noProof/>
        </w:rPr>
        <w:t>όλο και περισσότερο στη σύγκρουση</w:t>
      </w:r>
    </w:p>
    <w:p w14:paraId="40EF0413" w14:textId="77777777" w:rsidR="007D0ADE" w:rsidRDefault="007D0ADE" w:rsidP="00D75845">
      <w:pPr>
        <w:spacing w:before="60" w:after="60"/>
        <w:jc w:val="both"/>
      </w:pPr>
    </w:p>
    <w:p w14:paraId="2C7C3368" w14:textId="77777777" w:rsidR="006F1A47" w:rsidRDefault="006F1A47" w:rsidP="00D75845">
      <w:pPr>
        <w:spacing w:before="60" w:after="60"/>
        <w:jc w:val="both"/>
      </w:pPr>
      <w:r>
        <w:t>Ένα παράδειγμα από τον κινηματογράφο θα κάνει πιο καθαρά τα πράγματα.</w:t>
      </w:r>
    </w:p>
    <w:p w14:paraId="33CCE2D7" w14:textId="77777777" w:rsidR="006F1A47" w:rsidRDefault="006F1A47" w:rsidP="00D75845">
      <w:pPr>
        <w:spacing w:before="60" w:after="60"/>
        <w:jc w:val="both"/>
      </w:pPr>
      <w:r>
        <w:t>Γενικά ένα οπτικοακουστικό έργο μπορεί να θεωρηθεί ως ολοκληρωμένο αποτέλεσμα της οπτικής γωνίας του σκηνοθέτη-δημιουργού, μπορεί όμως να θεωρηθεί και ως ατελής κατασκευή, η οποία ολοκληρώνεται στο μυαλό του θεατή που ερμηνεύει τα δρώμενα. Σε κάθε περίπτωση, η προβολή της κινηματογραφικής ταινίας επιτρέπει στο θεατή να κρατήσει μια παιγνιώδη στάση, προσπαθώντας να μαντέψει τι θα γίνει στο επόμενο πλάνο του έργου. Ταυτόχρονα του επιτρέπει μια συμμετοχική κρίση, ερμηνεύοντας τις πράξεις των πρωταγωνιστών ως παραδείγματα προς μίμηση ή προς αποφυγή. Η ίδια η σκοτεινή αίθουσα, καθηλώνοντας το θεατή στην πολυθρόνα του, υποστηρίζει τον μηχανισμό της πλοκής, κατευθύνοντας το βλέμμα του στην οθόνη. Αν πάμε λίγο μακρύτερα την περιγραφή, θα διαπιστώσουμε ότι ανάμεσα στα όντα που προβάλλονται στην οθόνη, αλλά δεν είναι ορατά, είναι οι θεατές, τους οποίους τοποθετεί ο μηχανισμός της προοπτικής στην κορυφή της πυραμίδας που εκτείνεται έξω από την οθόνη, κάτι που είναι ενσωματωμένο στις ιδιότητες του φωτογραφικού φακού κατά τη λήψη του πλάνου.</w:t>
      </w:r>
    </w:p>
    <w:p w14:paraId="56272593" w14:textId="77777777" w:rsidR="00E75601" w:rsidRDefault="007D0ADE" w:rsidP="00D75845">
      <w:pPr>
        <w:keepNext/>
        <w:spacing w:before="60" w:after="60"/>
        <w:jc w:val="both"/>
      </w:pPr>
      <w:r>
        <w:rPr>
          <w:noProof/>
        </w:rPr>
        <w:lastRenderedPageBreak/>
        <w:drawing>
          <wp:inline distT="0" distB="0" distL="0" distR="0" wp14:anchorId="27459A62" wp14:editId="344061E4">
            <wp:extent cx="5274310" cy="24644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464435"/>
                    </a:xfrm>
                    <a:prstGeom prst="rect">
                      <a:avLst/>
                    </a:prstGeom>
                    <a:noFill/>
                    <a:ln>
                      <a:noFill/>
                    </a:ln>
                  </pic:spPr>
                </pic:pic>
              </a:graphicData>
            </a:graphic>
          </wp:inline>
        </w:drawing>
      </w:r>
    </w:p>
    <w:p w14:paraId="36D95F94" w14:textId="77777777" w:rsidR="007D0ADE" w:rsidRDefault="00E75601" w:rsidP="00D75845">
      <w:pPr>
        <w:pStyle w:val="Caption"/>
        <w:jc w:val="both"/>
      </w:pPr>
      <w:r>
        <w:t>Η παλαιά λογική παραγωγής με κυρίαρχο το κινηματογραφικό έργο έχει παρέλθει</w:t>
      </w:r>
    </w:p>
    <w:p w14:paraId="4C348F2D" w14:textId="77777777" w:rsidR="00CD1B5E" w:rsidRDefault="00CD1B5E" w:rsidP="00D75845">
      <w:pPr>
        <w:spacing w:before="60" w:after="60"/>
        <w:jc w:val="both"/>
      </w:pPr>
    </w:p>
    <w:p w14:paraId="17658618" w14:textId="77777777" w:rsidR="007D0ADE" w:rsidRPr="00CD1B5E" w:rsidRDefault="00CD1B5E" w:rsidP="00D75845">
      <w:pPr>
        <w:spacing w:before="60" w:after="60"/>
        <w:jc w:val="both"/>
        <w:rPr>
          <w:b/>
        </w:rPr>
      </w:pPr>
      <w:r w:rsidRPr="00CD1B5E">
        <w:rPr>
          <w:b/>
        </w:rPr>
        <w:t>Ο ρόλος του παραγωγού</w:t>
      </w:r>
    </w:p>
    <w:p w14:paraId="2CD60AE8" w14:textId="77777777" w:rsidR="006F1A47" w:rsidRDefault="006F1A47" w:rsidP="00D75845">
      <w:pPr>
        <w:spacing w:before="60" w:after="60"/>
        <w:jc w:val="both"/>
      </w:pPr>
      <w:r>
        <w:t xml:space="preserve">Τέλος είναι ενδιαφέρον να αναρωτηθεί κανείς με ποιον τρόπο απευθύνεται στο κοινό του ένα διαμεσικό έργο; Πως θα προσελκύσει το ενδιαφέρον ενός κοινού που υποτίθεται κατακερματισμένο τόσο στα ενδιαφέροντά του όσο και στα ψηφιακά μέσα που χρησιμοποιεί για ψυχαγωγία; Θεωρούμε ότι η απάντηση στο ερώτημα αυτό θα δοθεί με επαναληπτικές αξιολογήσεις των διαμεσικών αφηγήσεων που θα παρουσιάσει η </w:t>
      </w:r>
      <w:r w:rsidR="003F2D0F">
        <w:t>δημιουργική ομάδα</w:t>
      </w:r>
      <w:r>
        <w:t xml:space="preserve"> σε διάφορες εκδοχές, λαμβάνοντας υπόψη τις παρατηρήσεις από την εκάστοτε αξιολόγηση των παρουσιάσεων.</w:t>
      </w:r>
    </w:p>
    <w:p w14:paraId="2A6D24FF" w14:textId="77777777" w:rsidR="00A85136" w:rsidRDefault="007D0ADE" w:rsidP="00D75845">
      <w:pPr>
        <w:keepNext/>
        <w:spacing w:before="60" w:after="60"/>
        <w:jc w:val="both"/>
      </w:pPr>
      <w:r>
        <w:rPr>
          <w:noProof/>
        </w:rPr>
        <w:drawing>
          <wp:inline distT="0" distB="0" distL="0" distR="0" wp14:anchorId="24F83BD3" wp14:editId="621BD8E1">
            <wp:extent cx="5274310" cy="28016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01620"/>
                    </a:xfrm>
                    <a:prstGeom prst="rect">
                      <a:avLst/>
                    </a:prstGeom>
                    <a:noFill/>
                    <a:ln>
                      <a:noFill/>
                    </a:ln>
                  </pic:spPr>
                </pic:pic>
              </a:graphicData>
            </a:graphic>
          </wp:inline>
        </w:drawing>
      </w:r>
    </w:p>
    <w:p w14:paraId="383125C0" w14:textId="77777777" w:rsidR="007D0ADE" w:rsidRDefault="00A85136" w:rsidP="00D75845">
      <w:pPr>
        <w:pStyle w:val="Caption"/>
        <w:jc w:val="both"/>
      </w:pPr>
      <w:r>
        <w:t>Το κοινό θέλει να συμμετέχει σε κοινότητες, να ξεφύγει από τη ρουτίνα, αναζητά αναγνώριση και έμπνευση</w:t>
      </w:r>
    </w:p>
    <w:p w14:paraId="50820BCB" w14:textId="77777777" w:rsidR="007D0ADE" w:rsidRDefault="00CD1B5E" w:rsidP="00D75845">
      <w:pPr>
        <w:spacing w:before="60" w:after="60"/>
        <w:jc w:val="both"/>
      </w:pPr>
      <w:r>
        <w:t xml:space="preserve">Ο ρόλος του παραγωγού διαμεσικών έργων έγκειται στην κατανόηση των επιθυμιών όλων των διαφορετικών κατηγοριών κοινού και στη συστηματική σχεδίαση μεθόδων παραγωγής και καναλιών πρόσβασης </w:t>
      </w:r>
      <w:r w:rsidR="007153AA">
        <w:t>που θα δώσουν δυνατότητες συνάντησης του έργου με το κοινό του αλλά και δυνατότητες εσόδων στη δημιουργική ομάδα για να επενδύσει ακολούθως στη δημιουργία νέων έργων.</w:t>
      </w:r>
      <w:r w:rsidR="00E126A5">
        <w:t xml:space="preserve"> Ένας φάκελος ανάπτυξης παραγωγής περιέχει πάντα οικονομικά στοιχεία (προϋπολογισμός ανάπτυξης και παραγωγής, χρηματοδοτικό πλάνο, </w:t>
      </w:r>
      <w:r w:rsidR="00E126A5">
        <w:lastRenderedPageBreak/>
        <w:t>προβλέψεις εσόδων, κατηγορίες απευθυνόμενου κοινού, κλπ) που συμπληρώνουν την παρουσίαση της δημιουργικής ομάδας.</w:t>
      </w:r>
    </w:p>
    <w:p w14:paraId="280B4ACE" w14:textId="77777777" w:rsidR="002633F3" w:rsidRDefault="00626B19" w:rsidP="00D75845">
      <w:pPr>
        <w:keepNext/>
        <w:spacing w:before="60" w:after="60"/>
        <w:jc w:val="both"/>
      </w:pPr>
      <w:r>
        <w:rPr>
          <w:noProof/>
        </w:rPr>
        <w:drawing>
          <wp:inline distT="0" distB="0" distL="0" distR="0" wp14:anchorId="615C17AA" wp14:editId="2504AC20">
            <wp:extent cx="5274310" cy="26904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690495"/>
                    </a:xfrm>
                    <a:prstGeom prst="rect">
                      <a:avLst/>
                    </a:prstGeom>
                    <a:noFill/>
                    <a:ln>
                      <a:noFill/>
                    </a:ln>
                  </pic:spPr>
                </pic:pic>
              </a:graphicData>
            </a:graphic>
          </wp:inline>
        </w:drawing>
      </w:r>
    </w:p>
    <w:p w14:paraId="5441956E" w14:textId="77777777" w:rsidR="007153AA" w:rsidRDefault="002633F3" w:rsidP="00D75845">
      <w:pPr>
        <w:pStyle w:val="Caption"/>
        <w:jc w:val="both"/>
      </w:pPr>
      <w:r>
        <w:t>Τα οικονομικά μοντέλα αλλάζουν. Τα έσοδα μπορεί να προέρχονται από πολλαπλά κανάλια διανομής</w:t>
      </w:r>
    </w:p>
    <w:p w14:paraId="730E7992" w14:textId="77777777" w:rsidR="007153AA" w:rsidRDefault="007153AA" w:rsidP="00D75845">
      <w:pPr>
        <w:spacing w:before="60" w:after="60"/>
        <w:jc w:val="both"/>
      </w:pPr>
    </w:p>
    <w:p w14:paraId="0D5AC35D" w14:textId="77777777" w:rsidR="006F1A47" w:rsidRDefault="006F1A47" w:rsidP="00D75845">
      <w:pPr>
        <w:spacing w:before="60" w:after="60"/>
        <w:jc w:val="both"/>
      </w:pPr>
      <w:r>
        <w:t xml:space="preserve">Συμπερασματικά, μελετούμε τα σχεδιαστικά πλαίσια διαμεσικής αφήγησης τόσο ως προς τα νέα στοιχεία που φέρνουν όσο και ως προς τα στοιχεία που διατηρούν από τα παραδοσιακά μέσα αφήγησης, δίνοντας ιδιαίτερη έμφαση στη διαχρονικότητα αυτών των </w:t>
      </w:r>
      <w:r w:rsidR="00626B19">
        <w:t xml:space="preserve">τελευταίων </w:t>
      </w:r>
      <w:r>
        <w:t>στοιχείων.</w:t>
      </w:r>
      <w:r w:rsidR="00E126A5">
        <w:t xml:space="preserve"> </w:t>
      </w:r>
    </w:p>
    <w:p w14:paraId="6E057ADC" w14:textId="77777777" w:rsidR="006F1A47" w:rsidRPr="005B2742" w:rsidRDefault="006F1A47" w:rsidP="00D75845">
      <w:pPr>
        <w:spacing w:before="60" w:after="60"/>
        <w:jc w:val="both"/>
      </w:pPr>
    </w:p>
    <w:p w14:paraId="63472CFA" w14:textId="77777777" w:rsidR="006F1A47" w:rsidRPr="00E01C93" w:rsidRDefault="006F1A47" w:rsidP="00D75845">
      <w:pPr>
        <w:spacing w:before="60" w:after="60"/>
        <w:jc w:val="both"/>
        <w:rPr>
          <w:b/>
        </w:rPr>
      </w:pPr>
      <w:r w:rsidRPr="00E01C93">
        <w:rPr>
          <w:b/>
        </w:rPr>
        <w:t>Εννοιολογικό πλαίσιο</w:t>
      </w:r>
      <w:r w:rsidR="00133183">
        <w:rPr>
          <w:b/>
        </w:rPr>
        <w:t xml:space="preserve"> διαμεσικών έργων</w:t>
      </w:r>
    </w:p>
    <w:p w14:paraId="3C9551C1" w14:textId="77777777" w:rsidR="006F1A47" w:rsidRPr="00BD2C8A" w:rsidRDefault="006F1A47" w:rsidP="00D75845">
      <w:pPr>
        <w:spacing w:before="60" w:after="60"/>
        <w:jc w:val="both"/>
      </w:pPr>
      <w:r w:rsidRPr="00BD2C8A">
        <w:t>Το γνωστικό αντικείμενο των διαμεσικών αφηγήσεων (transmedia storytelling) εντάσσεται στον ευρύτερο προβληματικό χώρο της σύγκλισης των μέσων και αποτελεί ένα νέο τρόπο αντίληψης της ροής περιεχομένου μεταξύ διαφορετικών μέσων παραγωγής και καναλιών διανομής περιεχομένου. Η διαμεσική αφήγηση αναφέρεται σε μια διαδικασία κατά την οποία αναπόσπαστα στοιχεία μιας ιστορίας κατανέμονται συστηματικά σε πολλαπλά μέσα και κανάλια διανομής, με σκοπό τη δημιουργία μιας ενοποιημένης και συντονισμένης ψυχαγωγικής εμπειρίας (Jenkins, 2006).</w:t>
      </w:r>
    </w:p>
    <w:p w14:paraId="476E3846" w14:textId="77777777" w:rsidR="006F1A47" w:rsidRDefault="006F1A47" w:rsidP="00D75845">
      <w:pPr>
        <w:spacing w:before="60" w:after="60"/>
        <w:jc w:val="both"/>
      </w:pPr>
      <w:r w:rsidRPr="00BD2C8A">
        <w:t>Το σύνολο της ακαδημαϊκής κοινότητας, στην προσπάθεια θεωρητικής και αναλυτικής</w:t>
      </w:r>
      <w:r>
        <w:t xml:space="preserve"> </w:t>
      </w:r>
      <w:r w:rsidRPr="00BD2C8A">
        <w:t>προσέγγισης των διαμεσικών αφηγήσεων, αναγ</w:t>
      </w:r>
      <w:r>
        <w:t xml:space="preserve">νωρίζει το μεγάλο εύρος και την </w:t>
      </w:r>
      <w:r w:rsidRPr="00BD2C8A">
        <w:t>πολυπλοκότητα του φαινομένου. Για την στόχευση της έρευνας του ευρύτερου γνωστικού αντικειμένου ο Robert Pratten διακρίνει τους τρεις τομείς μιας διαμεσικής αφήγησης: «Ιστορία», «Παιχνίδι» και «Συμμετοχή» (Pratten, 2011).</w:t>
      </w:r>
    </w:p>
    <w:p w14:paraId="6A71A321" w14:textId="77777777" w:rsidR="006F1A47" w:rsidRPr="006D12BE" w:rsidRDefault="006F1A47" w:rsidP="00D75845">
      <w:pPr>
        <w:spacing w:before="60" w:after="60"/>
        <w:jc w:val="both"/>
      </w:pPr>
      <w:r w:rsidRPr="006D12BE">
        <w:t>Ο όρος κοσμοπλασία (</w:t>
      </w:r>
      <w:r w:rsidRPr="006D12BE">
        <w:rPr>
          <w:lang w:val="en-US"/>
        </w:rPr>
        <w:t>worldbuilding</w:t>
      </w:r>
      <w:r w:rsidRPr="006D12BE">
        <w:t xml:space="preserve">) χρησιμοποιείται μόλις τα τελευταία χρόνια στην Ελλάδα. Η έννοια της σύνθετης λέξης (κόσμος και πλάθω) περιλαμβάνει αφενός τη διαδικασία με την οποία κατασκευάζεται ένα κοσμοείδωλο, αφετέρου όλες τις λεπτές διεργασίες που θέτουν τους κανόνες που τον διέπουν και τη μεταξύ τους συνδεσμολογία.  </w:t>
      </w:r>
    </w:p>
    <w:p w14:paraId="248C10B1" w14:textId="77777777" w:rsidR="006F1A47" w:rsidRDefault="006F1A47" w:rsidP="00D75845">
      <w:pPr>
        <w:spacing w:before="60" w:after="60"/>
        <w:jc w:val="both"/>
      </w:pPr>
      <w:r w:rsidRPr="006D12BE">
        <w:t>Η κατασκευή ενός κοσμοειδώλου (το προϊόν της κοσμοπλασίας) δεν είναι απαραίτητα η κατασκευή ενός νέου, φανταστικού κόσμου. Σε πολλές περιπτώσεις ακόμα και η ιδιαίτερη ματιά ενός συγγραφέα, κινηματογραφιστή, κομίστα ή κατασκευαστή παιχνιδιών επάνω στον πραγματικό κόσμο μπορεί να αποβεί κοσμοπλασ</w:t>
      </w:r>
      <w:r>
        <w:t>τική, με την έννοια της συγκεκρι</w:t>
      </w:r>
      <w:r w:rsidRPr="006D12BE">
        <w:t>μένης οπτικής γωνίας που ο δημιουργός υιοθετεί για να τοποθετήσει μέσα της το έργο του.</w:t>
      </w:r>
    </w:p>
    <w:p w14:paraId="2C6918C4" w14:textId="77777777" w:rsidR="006F1A47" w:rsidRDefault="006F1A47" w:rsidP="00D75845">
      <w:pPr>
        <w:spacing w:before="60" w:after="60"/>
        <w:jc w:val="both"/>
      </w:pPr>
      <w:r w:rsidRPr="002233A8">
        <w:lastRenderedPageBreak/>
        <w:t xml:space="preserve">Η κοσμοπλασία, ακόμα και χωρίς τον μύθο, είναι ικανή να προκαλέσει την προσοχή και να δημιουργήσει συναισθήματα στον αποδέκτη της, ανάλογα με το είδος της φαντασίας στο οποίο ανήκει. Ιδιαίτερα, στα πλαίσια της διαμεσικότητας </w:t>
      </w:r>
      <w:r w:rsidRPr="002233A8">
        <w:rPr>
          <w:i/>
        </w:rPr>
        <w:t xml:space="preserve">«μπορούμε να εξετάζουμε το κοσμοείδωλο ως τον βασικό χαρακτήρα της ιστορίας» </w:t>
      </w:r>
      <w:r w:rsidRPr="002233A8">
        <w:t xml:space="preserve">(Cambarato, 2013:90). Και ο χαρακτήρας αυτός </w:t>
      </w:r>
      <w:r>
        <w:t>οφείλει</w:t>
      </w:r>
      <w:r w:rsidRPr="002233A8">
        <w:t xml:space="preserve"> να είναι συνεπής ως προς τους κανόνες που ο </w:t>
      </w:r>
      <w:r>
        <w:t xml:space="preserve">ίδιος ο </w:t>
      </w:r>
      <w:r w:rsidRPr="002233A8">
        <w:t>δημιουργός του θέτει, αξιόπιστος ως προς την προσδοκία των οπαδών του και αληθοφανής για να προκαλεί την εμβύθιση.</w:t>
      </w:r>
    </w:p>
    <w:p w14:paraId="56E7CF19" w14:textId="77777777" w:rsidR="00A851AE" w:rsidRDefault="00BB3F84" w:rsidP="00D75845">
      <w:pPr>
        <w:keepNext/>
        <w:spacing w:before="60" w:after="60"/>
        <w:jc w:val="both"/>
      </w:pPr>
      <w:r>
        <w:rPr>
          <w:noProof/>
        </w:rPr>
        <w:drawing>
          <wp:inline distT="0" distB="0" distL="0" distR="0" wp14:anchorId="3F4C1986" wp14:editId="657BF19C">
            <wp:extent cx="5274310" cy="28016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801620"/>
                    </a:xfrm>
                    <a:prstGeom prst="rect">
                      <a:avLst/>
                    </a:prstGeom>
                    <a:noFill/>
                    <a:ln>
                      <a:noFill/>
                    </a:ln>
                  </pic:spPr>
                </pic:pic>
              </a:graphicData>
            </a:graphic>
          </wp:inline>
        </w:drawing>
      </w:r>
    </w:p>
    <w:p w14:paraId="1600DF41" w14:textId="77777777" w:rsidR="00F93B22" w:rsidRDefault="00A851AE" w:rsidP="00D75845">
      <w:pPr>
        <w:pStyle w:val="Caption"/>
        <w:jc w:val="both"/>
      </w:pPr>
      <w:r>
        <w:t>Η θεματολογία των διαμεσικών έργων λαμβάνει υπόψη τους κανόνες που διέπουν κάθε είδος αφήγησης</w:t>
      </w:r>
    </w:p>
    <w:p w14:paraId="3A818D0A" w14:textId="77777777" w:rsidR="00F93B22" w:rsidRDefault="00F93B22" w:rsidP="00D75845">
      <w:pPr>
        <w:spacing w:before="60" w:after="60"/>
        <w:jc w:val="both"/>
      </w:pPr>
    </w:p>
    <w:p w14:paraId="170C9CF7" w14:textId="77777777" w:rsidR="006F1A47" w:rsidRDefault="006F1A47" w:rsidP="00D75845">
      <w:pPr>
        <w:spacing w:before="60" w:after="60"/>
        <w:jc w:val="both"/>
      </w:pPr>
      <w:r>
        <w:t xml:space="preserve">Η κοσμοπλασία έχει ρίζες στη μυθογραφική σκέψη των προγόνων μας, όπου κάθε φυσικό φαινόμενο μετασχηματιζόταν σε θεϊκή υπόσταση, αλλά κάθε μέσο επικοινωνίας που εφευρέθηκε στην ιστορία της ανθρωπότητας σμίλεψε επίσης τη μήτρα της αφήγησης και παρέδωσε στους δημιουργούς τρόπους να διηγηθούν ιστορίες χαρακτηριστικές για κάθε μέσο. Ιδιαίτερο ενδιαφέρον έχει η διάκριση στα ψηφιακά μέσα της τελευταίας εποχής αφηγηματικότητας που χρησιμοποιούν υπολογιστές και τις τεχνικές παραπομπών των υπερμέσων αλλά διαφέρουν ως προς τα μυθοπλαστικά χαρακτηριστικά: </w:t>
      </w:r>
      <w:r>
        <w:rPr>
          <w:lang w:val="en-US"/>
        </w:rPr>
        <w:t>multimedia</w:t>
      </w:r>
      <w:r w:rsidRPr="0094538A">
        <w:t xml:space="preserve">, </w:t>
      </w:r>
      <w:r>
        <w:rPr>
          <w:lang w:val="en-US"/>
        </w:rPr>
        <w:t>cross</w:t>
      </w:r>
      <w:r w:rsidRPr="0094538A">
        <w:t>-</w:t>
      </w:r>
      <w:r>
        <w:rPr>
          <w:lang w:val="en-US"/>
        </w:rPr>
        <w:t>media</w:t>
      </w:r>
      <w:r w:rsidRPr="0094538A">
        <w:t xml:space="preserve">, </w:t>
      </w:r>
      <w:r>
        <w:rPr>
          <w:lang w:val="en-US"/>
        </w:rPr>
        <w:t>transmedia</w:t>
      </w:r>
      <w:r w:rsidRPr="0094538A">
        <w:t>.</w:t>
      </w:r>
    </w:p>
    <w:p w14:paraId="59EE6B86" w14:textId="77777777" w:rsidR="006F1A47" w:rsidRPr="0094538A" w:rsidRDefault="006F1A47" w:rsidP="00D75845">
      <w:pPr>
        <w:spacing w:before="60" w:after="60"/>
        <w:jc w:val="both"/>
      </w:pPr>
      <w:r w:rsidRPr="0094538A">
        <w:t xml:space="preserve">Τα κύρια χαρακτηριστικά της διαμεσικής σε σχέση με την πολυμεσική και την crossmedia αφήγηση είναι τα εξής: </w:t>
      </w:r>
    </w:p>
    <w:p w14:paraId="2A9FCB92" w14:textId="77777777" w:rsidR="006F1A47" w:rsidRPr="0094538A" w:rsidRDefault="006F1A47" w:rsidP="00D75845">
      <w:pPr>
        <w:spacing w:before="60" w:after="60"/>
        <w:jc w:val="both"/>
      </w:pPr>
      <w:r w:rsidRPr="0094538A">
        <w:t xml:space="preserve">Η πολυμεσική αφήγηση παρουσιάζει μια μεμονωμένη ιστορία σε ένα κανάλι διανομής με την χρήση πολλαπλών μέσων. </w:t>
      </w:r>
    </w:p>
    <w:p w14:paraId="4F517C5A" w14:textId="77777777" w:rsidR="006F1A47" w:rsidRPr="0094538A" w:rsidRDefault="006F1A47" w:rsidP="00D75845">
      <w:pPr>
        <w:spacing w:before="60" w:after="60"/>
        <w:jc w:val="both"/>
      </w:pPr>
      <w:r w:rsidRPr="0094538A">
        <w:t xml:space="preserve">Η crossmedia αφήγηση παρουσιάζει μια μεμονωμένη ιστορία σε πολλά κανάλια διανομής με την χρήση πολλαπλών μέσων, τα οποία την προωθούν σειριακά και κατευθύνουν το κοινό που συμμετέχει ενεργά στην εξέλιξη της. </w:t>
      </w:r>
    </w:p>
    <w:p w14:paraId="041C5A25" w14:textId="77777777" w:rsidR="006F1A47" w:rsidRDefault="006F1A47" w:rsidP="00D75845">
      <w:pPr>
        <w:spacing w:before="60" w:after="60"/>
        <w:jc w:val="both"/>
      </w:pPr>
      <w:r w:rsidRPr="0094538A">
        <w:t>Η διαμεσική αφήγηση παρουσιάζει πολλαπλές ιστορίες σε πολλά κανάλια διανομής, ενταγμένες σε έναν μυθοπλαστικό κόσμο με την χρήση διάφορων μέσων, τα οποία επεκτείνουν την αφήγηση που το κοινό βιώνει ενεργά.</w:t>
      </w:r>
    </w:p>
    <w:p w14:paraId="4EBB01ED" w14:textId="77777777" w:rsidR="003630F6" w:rsidRDefault="00115004" w:rsidP="00D75845">
      <w:pPr>
        <w:keepNext/>
        <w:spacing w:before="60" w:after="60"/>
        <w:jc w:val="both"/>
      </w:pPr>
      <w:r>
        <w:rPr>
          <w:noProof/>
        </w:rPr>
        <w:lastRenderedPageBreak/>
        <w:drawing>
          <wp:inline distT="0" distB="0" distL="0" distR="0" wp14:anchorId="5EF0D5E5" wp14:editId="584AA56E">
            <wp:extent cx="5274310" cy="2579953"/>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579953"/>
                    </a:xfrm>
                    <a:prstGeom prst="rect">
                      <a:avLst/>
                    </a:prstGeom>
                    <a:noFill/>
                    <a:ln>
                      <a:noFill/>
                    </a:ln>
                  </pic:spPr>
                </pic:pic>
              </a:graphicData>
            </a:graphic>
          </wp:inline>
        </w:drawing>
      </w:r>
    </w:p>
    <w:p w14:paraId="7745BBAF" w14:textId="77777777" w:rsidR="00BB3F84" w:rsidRDefault="003630F6" w:rsidP="00D75845">
      <w:pPr>
        <w:pStyle w:val="Caption"/>
        <w:jc w:val="both"/>
      </w:pPr>
      <w:r>
        <w:t xml:space="preserve">Τα περισσότερα έσοδα του </w:t>
      </w:r>
      <w:r>
        <w:rPr>
          <w:lang w:val="en-GB"/>
        </w:rPr>
        <w:t>Star</w:t>
      </w:r>
      <w:r>
        <w:rPr>
          <w:noProof/>
        </w:rPr>
        <w:t xml:space="preserve"> </w:t>
      </w:r>
      <w:r>
        <w:rPr>
          <w:noProof/>
          <w:lang w:val="en-GB"/>
        </w:rPr>
        <w:t>Wars</w:t>
      </w:r>
      <w:r>
        <w:rPr>
          <w:noProof/>
        </w:rPr>
        <w:t xml:space="preserve"> προέρχονται από πωλήσεις αντικειμένων αλλά η παρατεινόμενη φήμη του οφείλεται στις παραλλαγές φανατικών οπαδών που είναι δωρεάν προσβάσιμες από το κοινό</w:t>
      </w:r>
    </w:p>
    <w:p w14:paraId="493E1991" w14:textId="77777777" w:rsidR="00BB3F84" w:rsidRDefault="00BB3F84" w:rsidP="00D75845">
      <w:pPr>
        <w:spacing w:before="60" w:after="60"/>
        <w:jc w:val="both"/>
      </w:pPr>
    </w:p>
    <w:p w14:paraId="6E67A637" w14:textId="77777777" w:rsidR="006F1A47" w:rsidRPr="00D845FF" w:rsidRDefault="006F1A47" w:rsidP="00D75845">
      <w:pPr>
        <w:spacing w:before="60" w:after="60"/>
        <w:jc w:val="both"/>
      </w:pPr>
      <w:r>
        <w:t xml:space="preserve"> </w:t>
      </w:r>
      <w:r w:rsidRPr="00D845FF">
        <w:t xml:space="preserve">Η ακαδημαϊκή κοινότητα στην προσπάθεια κατανόησης και ανάλυσης των διαμεσικών αφηγήσεων έχει δημιουργήσει ένα εύρος κατηγοριοποιήσεων του γνωστικού αντικειμένου. Περισσότερο διαδεδομένη είναι η διάκριση με κριτήριο τον τρόπο της αρχικής τους σχεδίασης. Ο Long παρατηρεί ότι υπάρχει σημαντική διαφορά μεταξύ των στέρεων (“hard”) διαμεσικών αφηγήσεων που σχεδιάστηκαν εξ αρχής με γνώμονα την διαμεσικότητα και των ευμετάβλητων (“soft”) που η ανάγκη για διαμεσικότητα προέκυψε στην πορεία (Long, 2007). </w:t>
      </w:r>
    </w:p>
    <w:p w14:paraId="19608451" w14:textId="77777777" w:rsidR="006F1A47" w:rsidRPr="00D845FF" w:rsidRDefault="006F1A47" w:rsidP="00D75845">
      <w:pPr>
        <w:spacing w:before="60" w:after="60"/>
        <w:jc w:val="both"/>
      </w:pPr>
      <w:r w:rsidRPr="00D845FF">
        <w:t>Η Marie-Laure Ryan στο πλαίσιο της συγκεκριμένης διάκρισης αναφέρεται στο φαινόμενο της “χιονοστιβάδας” (“snowball“ effect) (Ryan, 2013). Μια ιστορία αποκτάει τόσο μεγάλη δημοτικότητα ή γίνεται τόσο κυρίαρχη πολιτισμικά που παράγει “αυθόρμητα” πλήθος επεκτάσεων σε διάφορα μέσα. Στην συγκεκριμένη περίπτωση όλες οι επεκτάσεις έχουν ως σημείο αναφοράς το κεντρικό κείμενο. Τα λογοτεχνικά έργα Lord of the Rings (1954) και Harry Potter (1997) αποτελούν παράδειγμα του φαινομένου της “χιονοστιβάδας”, καθώς δημ</w:t>
      </w:r>
      <w:r>
        <w:t>ιουργήθηκαν ως βιβλία από έναν συγγραφέα και στη</w:t>
      </w:r>
      <w:r w:rsidRPr="00D845FF">
        <w:t xml:space="preserve"> συνέχεια λόγω μεγάλης δημοτικότητας επεκτάθηκαν σε κινηματογραφικές ταινίες, κινούμενα σχέδια, ηλεκτρονικά παιχνίδια κ.ά.. Ένα έργο που εντάσσεται σε αυτήν την κατηγορία αποτελείται από τρεις τύπους κειμενικού περιεχομένου (Φώκιαλη, 2014): </w:t>
      </w:r>
    </w:p>
    <w:p w14:paraId="26C0E67A" w14:textId="77777777" w:rsidR="006F1A47" w:rsidRPr="00D845FF" w:rsidRDefault="006F1A47" w:rsidP="00D75845">
      <w:pPr>
        <w:spacing w:before="60" w:after="60"/>
        <w:jc w:val="both"/>
      </w:pPr>
      <w:r w:rsidRPr="00D845FF">
        <w:t xml:space="preserve">1. Τον κειμενικό πυρήνα της ιστορίας (στην περίπτωση των Lord of the Rings και Harry Potter τα λογοτεχνικά βιβλία). </w:t>
      </w:r>
    </w:p>
    <w:p w14:paraId="5156A1FF" w14:textId="77777777" w:rsidR="006F1A47" w:rsidRPr="00D845FF" w:rsidRDefault="006F1A47" w:rsidP="00D75845">
      <w:pPr>
        <w:spacing w:before="60" w:after="60"/>
        <w:jc w:val="both"/>
      </w:pPr>
      <w:r w:rsidRPr="00D845FF">
        <w:t xml:space="preserve">2. Τις επίσημες επεκτάσεις της ιστορίας, όπως τις κινηματογραφικές ταινίες που παράγονται από πολιτισμικές βιομηχανίες, στις οποίες έχουν παραχωρηθεί τα πνευματικά δικαιώματα εκμετάλλευσης του έργου. </w:t>
      </w:r>
    </w:p>
    <w:p w14:paraId="03919F03" w14:textId="77777777" w:rsidR="006F1A47" w:rsidRPr="00D845FF" w:rsidRDefault="006F1A47" w:rsidP="00D75845">
      <w:pPr>
        <w:spacing w:before="60" w:after="60"/>
        <w:jc w:val="both"/>
      </w:pPr>
      <w:r w:rsidRPr="00D845FF">
        <w:t xml:space="preserve">3. Τις ανεπίσημες επεκτάσεις περιεχομένου, που παράγονται από το κοινό, όπως η λογοτεχνία των οπαδών (στην περίπτωση του Harry Potter το κοινό έχει δημιουργήσει περιεχόμενο, κυρίως σε μορφή λογοτεχνικού κειμένου, που επεκτείνει τον κόσμο της ιστορίας, αλλάζει τις σχέσεις των χαρακτήρων και εισάγει νέους, χωρίς όμως να αναγνωρίζεται επίσημα από τους κατόχους των πνευματικών δικαιωμάτων του έργου).   </w:t>
      </w:r>
    </w:p>
    <w:p w14:paraId="048DF4BC" w14:textId="77777777" w:rsidR="006F1A47" w:rsidRPr="00D845FF" w:rsidRDefault="006F1A47" w:rsidP="00D75845">
      <w:pPr>
        <w:spacing w:before="60" w:after="60"/>
        <w:jc w:val="both"/>
      </w:pPr>
      <w:r w:rsidRPr="00D845FF">
        <w:t xml:space="preserve">Στον αντίποδα του φαινομένου της “χιονοστιβάδας” η Ryan παραθέτει την δημιουργία αφηγήσεων που σχεδιάζονται εξ αρχής με άξονα την διαμεσική τους λειτουργία.  </w:t>
      </w:r>
    </w:p>
    <w:p w14:paraId="54F27E14" w14:textId="77777777" w:rsidR="006F1A47" w:rsidRPr="00D845FF" w:rsidRDefault="006F1A47" w:rsidP="00D75845">
      <w:pPr>
        <w:spacing w:before="60" w:after="60"/>
        <w:jc w:val="both"/>
      </w:pPr>
      <w:r w:rsidRPr="00D845FF">
        <w:lastRenderedPageBreak/>
        <w:t xml:space="preserve">Παρόμοια είναι η κατηγοριοποίηση του Drew Davidson, ο οποίος διακρίνει τις διαμεσικές αφηγήσεις σε “προσχεδιασμένες” (pro-active) και “αναδρομικές” (retroactive) (Davidson et al., 2010). Οι αναδρομικές αφηγήσεις βασίζονται σε ένα επιτυχημένο έργο, που στην συνέχεια επεκτείνεται σε διάφορα μέσα χωρίς να έχει προϋπάρξει αντίστοιχος σχεδιασμός. Οι προσχεδιασμένες διαμεσικές αφηγήσεις, όπως δηλώνει και το όνομα τους, έχουν σχεδιαστεί εξ αρχής με τρόπο ώστε οι διάφορες επεκτάσεις να χρησιμοποιούν διαφορετικά μέσα και να είναι συντονισμένες στην δόμηση ενός κοινού μυθοπλαστικού κόσμου. </w:t>
      </w:r>
    </w:p>
    <w:p w14:paraId="75DB9E6D" w14:textId="77777777" w:rsidR="006F1A47" w:rsidRDefault="006F1A47" w:rsidP="00D75845">
      <w:pPr>
        <w:spacing w:before="60" w:after="60"/>
        <w:jc w:val="both"/>
      </w:pPr>
      <w:r w:rsidRPr="00D845FF">
        <w:t>Ο Long έχοντας αναφερθεί στις στέρεες και ευμετάβλητες, προσθέτει τις ευέλικτες (“chewy”) διαμεσικές αφηγήσεις (Long, 2007). Στην κατηγορία των ευέλικτων ο Long τοποθετεί αφηγήσεις που οι δημιουργοί τους αποφασίζουν να επεκτείνουν συντονισμένα μετά την επιτυχία κάποιου κειμενικού περιεχομένου, ακολουθώντας το παρά</w:t>
      </w:r>
      <w:r>
        <w:t>δειγμα των στέρεων, έ</w:t>
      </w:r>
      <w:r w:rsidRPr="00D845FF">
        <w:t>να “δεύτερο κύμα” επεκτάσεων που γίνονται αναδρομικά, αλλά σχεδιάζονται ως στέρεες-προσχεδιασμένες διαμεσικές αφηγήσεις.</w:t>
      </w:r>
    </w:p>
    <w:p w14:paraId="0559C1A6" w14:textId="77777777" w:rsidR="006F1A47" w:rsidRDefault="006F1A47" w:rsidP="00D75845">
      <w:pPr>
        <w:spacing w:before="60" w:after="60"/>
        <w:jc w:val="both"/>
      </w:pPr>
      <w:r>
        <w:t xml:space="preserve">Ασφαλώς, οι αναφερόμενες επεκτάσεις αντιστοιχούν σε κάποιο μέσο επικοινωνίας, που η δημιουργική ομάδα επιλέγει με βάση τα δομικά του χαρακτηριστικά. Πυξίδα επιλογής σε τέτοιες περιπτώσεις μπορεί να αποτελέσει το παρακάτω σχήμα, το οποίο κατηγοριοποιεί τα μέσα ως προς τη δεκτικότητά τους </w:t>
      </w:r>
      <w:r w:rsidRPr="00D845FF">
        <w:t xml:space="preserve"> </w:t>
      </w:r>
      <w:r>
        <w:t>στον ήχο, την εικόνα, τη διάδραση και το κείμενο.</w:t>
      </w:r>
    </w:p>
    <w:p w14:paraId="5F66AF21" w14:textId="77777777" w:rsidR="006F1A47" w:rsidRDefault="006F1A47" w:rsidP="00D75845">
      <w:pPr>
        <w:spacing w:before="60" w:after="60"/>
        <w:jc w:val="both"/>
      </w:pPr>
    </w:p>
    <w:p w14:paraId="01597D2D" w14:textId="77777777" w:rsidR="006F1A47" w:rsidRPr="002233A8" w:rsidRDefault="006F1A47" w:rsidP="00D75845">
      <w:pPr>
        <w:spacing w:before="60" w:after="60"/>
        <w:jc w:val="both"/>
      </w:pPr>
      <w:r>
        <w:rPr>
          <w:noProof/>
        </w:rPr>
        <w:drawing>
          <wp:inline distT="0" distB="0" distL="0" distR="0" wp14:anchorId="42B954BD" wp14:editId="5AF4A017">
            <wp:extent cx="4798060" cy="4798060"/>
            <wp:effectExtent l="0" t="0" r="2540" b="2540"/>
            <wp:docPr id="1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8060" cy="4798060"/>
                    </a:xfrm>
                    <a:prstGeom prst="rect">
                      <a:avLst/>
                    </a:prstGeom>
                    <a:noFill/>
                  </pic:spPr>
                </pic:pic>
              </a:graphicData>
            </a:graphic>
          </wp:inline>
        </w:drawing>
      </w:r>
    </w:p>
    <w:p w14:paraId="6123E84F" w14:textId="77777777" w:rsidR="006F1A47" w:rsidRDefault="006F1A47" w:rsidP="00D75845">
      <w:pPr>
        <w:spacing w:before="60" w:after="60"/>
        <w:jc w:val="both"/>
      </w:pPr>
    </w:p>
    <w:p w14:paraId="39940B0C" w14:textId="12AE2DAD" w:rsidR="006F1A47" w:rsidRDefault="006F1A47" w:rsidP="00D75845">
      <w:pPr>
        <w:spacing w:before="60" w:after="60"/>
        <w:jc w:val="both"/>
      </w:pPr>
      <w:r w:rsidRPr="007A1A13">
        <w:lastRenderedPageBreak/>
        <w:t xml:space="preserve">Οι μεθοδολογικές προσεγγίσεις </w:t>
      </w:r>
      <w:r>
        <w:t xml:space="preserve">σχεδίασης </w:t>
      </w:r>
      <w:r w:rsidR="00160451" w:rsidRPr="007A1A13">
        <w:t xml:space="preserve">των </w:t>
      </w:r>
      <w:r>
        <w:t>διαμεσικών</w:t>
      </w:r>
      <w:r w:rsidRPr="007A1A13">
        <w:t xml:space="preserve"> κοσμοειδώλων δεν προέρχονται μόνο από την ακαδημαϊκή κοινότητα, αλλά και από σχεδιαστές παιχνιδιών, συγγραφείς λογοτεχνίας, σεναριογράφους και άλλους δημιουργούς.</w:t>
      </w:r>
    </w:p>
    <w:p w14:paraId="7F78A352" w14:textId="77777777" w:rsidR="006F1A47" w:rsidRPr="007A1A13" w:rsidRDefault="006F1A47" w:rsidP="00D75845">
      <w:pPr>
        <w:spacing w:before="60" w:after="60"/>
        <w:jc w:val="both"/>
      </w:pPr>
      <w:r>
        <w:t>Η πλέον ολοκληρωμένη προσέγγιση (</w:t>
      </w:r>
      <w:proofErr w:type="spellStart"/>
      <w:r w:rsidRPr="007A1A13">
        <w:rPr>
          <w:lang w:val="en-US"/>
        </w:rPr>
        <w:t>Gambarato</w:t>
      </w:r>
      <w:proofErr w:type="spellEnd"/>
      <w:r>
        <w:t xml:space="preserve">, </w:t>
      </w:r>
      <w:r w:rsidRPr="007A1A13">
        <w:t>2013) υποστηρίζει πως υπάρχουν εφτά βασικές πτυχές της κοσμοπλασίας που πρέπει να εξεταστούν:</w:t>
      </w:r>
    </w:p>
    <w:p w14:paraId="521E8A6E" w14:textId="77777777" w:rsidR="006F1A47" w:rsidRPr="007A1A13" w:rsidRDefault="006F1A47" w:rsidP="00D75845">
      <w:pPr>
        <w:numPr>
          <w:ilvl w:val="0"/>
          <w:numId w:val="2"/>
        </w:numPr>
        <w:spacing w:before="60" w:after="60" w:line="240" w:lineRule="auto"/>
        <w:jc w:val="both"/>
      </w:pPr>
      <w:r w:rsidRPr="007A1A13">
        <w:t>Πότε διαδραματίζεται η ιστορία;</w:t>
      </w:r>
    </w:p>
    <w:p w14:paraId="78B191B9" w14:textId="77777777" w:rsidR="006F1A47" w:rsidRPr="007A1A13" w:rsidRDefault="006F1A47" w:rsidP="00D75845">
      <w:pPr>
        <w:numPr>
          <w:ilvl w:val="0"/>
          <w:numId w:val="2"/>
        </w:numPr>
        <w:spacing w:before="60" w:after="60" w:line="240" w:lineRule="auto"/>
        <w:jc w:val="both"/>
      </w:pPr>
      <w:r w:rsidRPr="007A1A13">
        <w:t>Ποιο είναι το κοσμοείδωλο που θα λειτουργήσει ως υπόβαθρο (</w:t>
      </w:r>
      <w:r w:rsidRPr="007A1A13">
        <w:rPr>
          <w:lang w:val="en-US"/>
        </w:rPr>
        <w:t>setting</w:t>
      </w:r>
      <w:r w:rsidRPr="007A1A13">
        <w:t>) για το έργο;</w:t>
      </w:r>
    </w:p>
    <w:p w14:paraId="4F305866" w14:textId="77777777" w:rsidR="006F1A47" w:rsidRPr="007A1A13" w:rsidRDefault="006F1A47" w:rsidP="00D75845">
      <w:pPr>
        <w:numPr>
          <w:ilvl w:val="0"/>
          <w:numId w:val="2"/>
        </w:numPr>
        <w:spacing w:before="60" w:after="60" w:line="240" w:lineRule="auto"/>
        <w:jc w:val="both"/>
      </w:pPr>
      <w:r w:rsidRPr="007A1A13">
        <w:t>Είναι ο πραγματικός κόσμος, κάποιος φανταστικός ή μια μίξη των δύο;</w:t>
      </w:r>
    </w:p>
    <w:p w14:paraId="0CBC1401" w14:textId="77777777" w:rsidR="006F1A47" w:rsidRPr="007A1A13" w:rsidRDefault="006F1A47" w:rsidP="00D75845">
      <w:pPr>
        <w:numPr>
          <w:ilvl w:val="0"/>
          <w:numId w:val="2"/>
        </w:numPr>
        <w:spacing w:before="60" w:after="60" w:line="240" w:lineRule="auto"/>
        <w:jc w:val="both"/>
      </w:pPr>
      <w:r w:rsidRPr="007A1A13">
        <w:t>Πώς μπορεί να παρουσιαστεί η γεωγραφία του;</w:t>
      </w:r>
    </w:p>
    <w:p w14:paraId="265820C3" w14:textId="77777777" w:rsidR="006F1A47" w:rsidRPr="007A1A13" w:rsidRDefault="006F1A47" w:rsidP="00D75845">
      <w:pPr>
        <w:numPr>
          <w:ilvl w:val="0"/>
          <w:numId w:val="2"/>
        </w:numPr>
        <w:spacing w:before="60" w:after="60" w:line="240" w:lineRule="auto"/>
        <w:jc w:val="both"/>
      </w:pPr>
      <w:r w:rsidRPr="007A1A13">
        <w:t>Πώς μοιάζει ο κόσμος</w:t>
      </w:r>
      <w:r>
        <w:t xml:space="preserve"> (θέματα </w:t>
      </w:r>
      <w:r>
        <w:rPr>
          <w:lang w:val="en-US"/>
        </w:rPr>
        <w:t>design</w:t>
      </w:r>
      <w:r w:rsidRPr="007A1A13">
        <w:t xml:space="preserve">, </w:t>
      </w:r>
      <w:r>
        <w:rPr>
          <w:lang w:val="en-US"/>
        </w:rPr>
        <w:t>style</w:t>
      </w:r>
      <w:r w:rsidRPr="007A1A13">
        <w:t>);</w:t>
      </w:r>
    </w:p>
    <w:p w14:paraId="1DEDADBC" w14:textId="77777777" w:rsidR="006F1A47" w:rsidRPr="007A1A13" w:rsidRDefault="006F1A47" w:rsidP="00D75845">
      <w:pPr>
        <w:numPr>
          <w:ilvl w:val="0"/>
          <w:numId w:val="2"/>
        </w:numPr>
        <w:spacing w:before="60" w:after="60" w:line="240" w:lineRule="auto"/>
        <w:jc w:val="both"/>
      </w:pPr>
      <w:r w:rsidRPr="007A1A13">
        <w:t>Τι είδους προκλήσεις, κίνδυνοι και απολαύσεις ενυπάρχουν σε αυτό το κοσμοείδωλο;</w:t>
      </w:r>
    </w:p>
    <w:p w14:paraId="422ED76B" w14:textId="77777777" w:rsidR="006F1A47" w:rsidRPr="007A1A13" w:rsidRDefault="006F1A47" w:rsidP="00D75845">
      <w:pPr>
        <w:numPr>
          <w:ilvl w:val="0"/>
          <w:numId w:val="2"/>
        </w:numPr>
        <w:spacing w:before="60" w:after="60" w:line="240" w:lineRule="auto"/>
        <w:jc w:val="both"/>
      </w:pPr>
      <w:r w:rsidRPr="007A1A13">
        <w:t>Είναι το κοσμοείδωλο αρκετά εκτεταμένο ώστε να υποστηρίξει επεκτάσεις;</w:t>
      </w:r>
    </w:p>
    <w:p w14:paraId="1A0B00B6" w14:textId="77777777" w:rsidR="006F1A47" w:rsidRDefault="006F1A47" w:rsidP="00D75845">
      <w:pPr>
        <w:spacing w:before="60" w:after="60"/>
        <w:jc w:val="both"/>
      </w:pPr>
      <w:r>
        <w:t xml:space="preserve">Το σχεδιαστικό πλαίσιο που προτείνει η </w:t>
      </w:r>
      <w:proofErr w:type="spellStart"/>
      <w:r>
        <w:rPr>
          <w:lang w:val="en-US"/>
        </w:rPr>
        <w:t>Gambarato</w:t>
      </w:r>
      <w:proofErr w:type="spellEnd"/>
      <w:r>
        <w:t xml:space="preserve"> έχει γίνει αντικείμενο επεξεργασίας σε δύο πρόσφατες διπλωματικές εργασίες φοιτητών του ΤΜΣΠΣ (Ευδοκιάς, 2016 και Καλουντζή, 2016), δημιουργώντας τη μαγιά για την προσέγγιση που θα ακολουθήσει η </w:t>
      </w:r>
      <w:r w:rsidR="00F93B22">
        <w:t>δημιουργ</w:t>
      </w:r>
      <w:r>
        <w:t>ική ομάδα για να σχεδιάσει ένα πρωτότυπο διαμεσικό έργο. Πολλές από τις έννοιες που αναφέρονται στο εννοιολογικό πλαίσιο έχουν αναλυθεί στις δύο προαναφερόμενες εργασίες.</w:t>
      </w:r>
    </w:p>
    <w:p w14:paraId="3326FB9E" w14:textId="77777777" w:rsidR="006F1A47" w:rsidRPr="000824B1" w:rsidRDefault="006F1A47" w:rsidP="00D75845">
      <w:pPr>
        <w:spacing w:before="60" w:after="60"/>
        <w:jc w:val="both"/>
      </w:pPr>
    </w:p>
    <w:p w14:paraId="798FAA65" w14:textId="77777777" w:rsidR="00AF4D3A" w:rsidRPr="001229B0" w:rsidRDefault="00AF4D3A" w:rsidP="00D75845">
      <w:pPr>
        <w:spacing w:before="60" w:after="60"/>
        <w:jc w:val="both"/>
        <w:rPr>
          <w:b/>
        </w:rPr>
      </w:pPr>
    </w:p>
    <w:p w14:paraId="1788E845" w14:textId="77777777" w:rsidR="006F1A47" w:rsidRDefault="006F1A47" w:rsidP="00D75845">
      <w:pPr>
        <w:spacing w:before="60" w:after="60"/>
        <w:jc w:val="both"/>
      </w:pPr>
    </w:p>
    <w:p w14:paraId="7A43510A" w14:textId="77777777" w:rsidR="006F1A47" w:rsidRPr="00E01C93" w:rsidRDefault="006F1A47" w:rsidP="00D75845">
      <w:pPr>
        <w:spacing w:before="60" w:after="60"/>
        <w:jc w:val="both"/>
        <w:rPr>
          <w:b/>
          <w:lang w:val="en-US"/>
        </w:rPr>
      </w:pPr>
      <w:r w:rsidRPr="00E01C93">
        <w:rPr>
          <w:b/>
        </w:rPr>
        <w:t>Βιβλιογραφία</w:t>
      </w:r>
    </w:p>
    <w:p w14:paraId="0388F2C2"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Abbott</w:t>
      </w:r>
      <w:r w:rsidRPr="00E01C93">
        <w:rPr>
          <w:rFonts w:eastAsia="Calibri" w:cstheme="minorHAnsi"/>
          <w:iCs/>
          <w:sz w:val="20"/>
          <w:szCs w:val="20"/>
          <w:lang w:val="en-US"/>
        </w:rPr>
        <w:t xml:space="preserve">, </w:t>
      </w:r>
      <w:r w:rsidRPr="006F1A47">
        <w:rPr>
          <w:rFonts w:eastAsia="Calibri" w:cstheme="minorHAnsi"/>
          <w:iCs/>
          <w:sz w:val="20"/>
          <w:szCs w:val="20"/>
          <w:lang w:val="en-GB"/>
        </w:rPr>
        <w:t>H</w:t>
      </w:r>
      <w:r w:rsidRPr="00E01C93">
        <w:rPr>
          <w:rFonts w:eastAsia="Calibri" w:cstheme="minorHAnsi"/>
          <w:iCs/>
          <w:sz w:val="20"/>
          <w:szCs w:val="20"/>
          <w:lang w:val="en-US"/>
        </w:rPr>
        <w:t xml:space="preserve">. </w:t>
      </w:r>
      <w:r w:rsidRPr="006F1A47">
        <w:rPr>
          <w:rFonts w:eastAsia="Calibri" w:cstheme="minorHAnsi"/>
          <w:iCs/>
          <w:sz w:val="20"/>
          <w:szCs w:val="20"/>
          <w:lang w:val="en-GB"/>
        </w:rPr>
        <w:t>P</w:t>
      </w:r>
      <w:r w:rsidRPr="00E01C93">
        <w:rPr>
          <w:rFonts w:eastAsia="Calibri" w:cstheme="minorHAnsi"/>
          <w:iCs/>
          <w:sz w:val="20"/>
          <w:szCs w:val="20"/>
          <w:lang w:val="en-US"/>
        </w:rPr>
        <w:t xml:space="preserve">. (2005). </w:t>
      </w:r>
      <w:r w:rsidRPr="006F1A47">
        <w:rPr>
          <w:rFonts w:eastAsia="Calibri" w:cstheme="minorHAnsi"/>
          <w:iCs/>
          <w:sz w:val="20"/>
          <w:szCs w:val="20"/>
          <w:lang w:val="en-GB"/>
        </w:rPr>
        <w:t xml:space="preserve">The Future of All Narrative Futures. In J. Phelan, &amp; P. J. Rabinowitz, </w:t>
      </w:r>
      <w:r w:rsidRPr="006F1A47">
        <w:rPr>
          <w:rFonts w:eastAsia="Calibri" w:cstheme="minorHAnsi"/>
          <w:i/>
          <w:iCs/>
          <w:sz w:val="20"/>
          <w:szCs w:val="20"/>
          <w:lang w:val="en-GB"/>
        </w:rPr>
        <w:t>A Companion to Narrative Theory</w:t>
      </w:r>
      <w:r w:rsidRPr="006F1A47">
        <w:rPr>
          <w:rFonts w:eastAsia="Calibri" w:cstheme="minorHAnsi"/>
          <w:iCs/>
          <w:sz w:val="20"/>
          <w:szCs w:val="20"/>
          <w:lang w:val="en-GB"/>
        </w:rPr>
        <w:t xml:space="preserve"> (pp. 529-541). Malden, MA: Wiley</w:t>
      </w:r>
      <w:r w:rsidRPr="00E01C93">
        <w:rPr>
          <w:rFonts w:eastAsia="Calibri" w:cstheme="minorHAnsi"/>
          <w:iCs/>
          <w:sz w:val="20"/>
          <w:szCs w:val="20"/>
          <w:lang w:val="en-US"/>
        </w:rPr>
        <w:t>-</w:t>
      </w:r>
      <w:r w:rsidRPr="006F1A47">
        <w:rPr>
          <w:rFonts w:eastAsia="Calibri" w:cstheme="minorHAnsi"/>
          <w:iCs/>
          <w:sz w:val="20"/>
          <w:szCs w:val="20"/>
          <w:lang w:val="en-GB"/>
        </w:rPr>
        <w:t>Blackwell.</w:t>
      </w:r>
    </w:p>
    <w:p w14:paraId="37D5B559" w14:textId="77777777" w:rsidR="006F1A47" w:rsidRPr="006F1A47" w:rsidRDefault="006F1A47" w:rsidP="00D75845">
      <w:pPr>
        <w:jc w:val="both"/>
        <w:rPr>
          <w:rFonts w:eastAsia="Calibri" w:cstheme="minorHAnsi"/>
          <w:iCs/>
          <w:sz w:val="20"/>
          <w:szCs w:val="20"/>
          <w:lang w:val="en-GB"/>
        </w:rPr>
      </w:pPr>
      <w:proofErr w:type="spellStart"/>
      <w:r w:rsidRPr="006F1A47">
        <w:rPr>
          <w:rFonts w:eastAsia="Calibri" w:cstheme="minorHAnsi"/>
          <w:iCs/>
          <w:sz w:val="20"/>
          <w:szCs w:val="20"/>
          <w:lang w:val="en-GB"/>
        </w:rPr>
        <w:t>Bertetti</w:t>
      </w:r>
      <w:proofErr w:type="spellEnd"/>
      <w:r w:rsidRPr="006F1A47">
        <w:rPr>
          <w:rFonts w:eastAsia="Calibri" w:cstheme="minorHAnsi"/>
          <w:iCs/>
          <w:sz w:val="20"/>
          <w:szCs w:val="20"/>
          <w:lang w:val="en-GB"/>
        </w:rPr>
        <w:t xml:space="preserve">, P. (2014). Toward a Typology of Transmedia Characters. </w:t>
      </w:r>
      <w:r w:rsidRPr="006F1A47">
        <w:rPr>
          <w:rFonts w:eastAsia="Calibri" w:cstheme="minorHAnsi"/>
          <w:i/>
          <w:iCs/>
          <w:sz w:val="20"/>
          <w:szCs w:val="20"/>
          <w:lang w:val="en-GB"/>
        </w:rPr>
        <w:t>International Journal of Communication</w:t>
      </w:r>
      <w:r w:rsidRPr="006F1A47">
        <w:rPr>
          <w:rFonts w:eastAsia="Calibri" w:cstheme="minorHAnsi"/>
          <w:iCs/>
          <w:sz w:val="20"/>
          <w:szCs w:val="20"/>
          <w:lang w:val="en-GB"/>
        </w:rPr>
        <w:t>, n.8, (pp.2344-2361).</w:t>
      </w:r>
    </w:p>
    <w:p w14:paraId="1C9AEC01" w14:textId="77777777" w:rsidR="006F1A47" w:rsidRPr="00E01C93" w:rsidRDefault="006F1A47" w:rsidP="00D75845">
      <w:pPr>
        <w:jc w:val="both"/>
        <w:rPr>
          <w:rFonts w:eastAsia="Calibri" w:cstheme="minorHAnsi"/>
          <w:sz w:val="20"/>
          <w:szCs w:val="20"/>
          <w:lang w:val="en-US"/>
        </w:rPr>
      </w:pPr>
      <w:r w:rsidRPr="00E01C93">
        <w:rPr>
          <w:rFonts w:eastAsia="Calibri" w:cstheme="minorHAnsi"/>
          <w:sz w:val="20"/>
          <w:szCs w:val="20"/>
          <w:lang w:val="en-US"/>
        </w:rPr>
        <w:t xml:space="preserve">Buckingham, D. &amp; J. Sefton-Green, (2004). Structure, </w:t>
      </w:r>
      <w:proofErr w:type="gramStart"/>
      <w:r w:rsidRPr="00E01C93">
        <w:rPr>
          <w:rFonts w:eastAsia="Calibri" w:cstheme="minorHAnsi"/>
          <w:sz w:val="20"/>
          <w:szCs w:val="20"/>
          <w:lang w:val="en-US"/>
        </w:rPr>
        <w:t>Agency</w:t>
      </w:r>
      <w:proofErr w:type="gramEnd"/>
      <w:r w:rsidRPr="00E01C93">
        <w:rPr>
          <w:rFonts w:eastAsia="Calibri" w:cstheme="minorHAnsi"/>
          <w:sz w:val="20"/>
          <w:szCs w:val="20"/>
          <w:lang w:val="en-US"/>
        </w:rPr>
        <w:t xml:space="preserve"> and Pedagogy in Children's Media Culture. In J. Tobin (Ed.), </w:t>
      </w:r>
      <w:r w:rsidRPr="00E01C93">
        <w:rPr>
          <w:rFonts w:eastAsia="Calibri" w:cstheme="minorHAnsi"/>
          <w:i/>
          <w:iCs/>
          <w:sz w:val="20"/>
          <w:szCs w:val="20"/>
          <w:lang w:val="en-US"/>
        </w:rPr>
        <w:t>Pikachu's Global Adventure: The Rise and Fall of</w:t>
      </w:r>
      <w:r w:rsidRPr="00E01C93">
        <w:rPr>
          <w:rFonts w:eastAsia="Calibri" w:cstheme="minorHAnsi"/>
          <w:i/>
          <w:sz w:val="20"/>
          <w:szCs w:val="20"/>
          <w:lang w:val="en-US"/>
        </w:rPr>
        <w:t xml:space="preserve"> </w:t>
      </w:r>
      <w:r w:rsidRPr="00E01C93">
        <w:rPr>
          <w:rFonts w:eastAsia="Calibri" w:cstheme="minorHAnsi"/>
          <w:i/>
          <w:iCs/>
          <w:sz w:val="20"/>
          <w:szCs w:val="20"/>
          <w:lang w:val="en-US"/>
        </w:rPr>
        <w:t>Pokémon</w:t>
      </w:r>
      <w:r w:rsidRPr="00E01C93">
        <w:rPr>
          <w:rFonts w:eastAsia="Calibri" w:cstheme="minorHAnsi"/>
          <w:iCs/>
          <w:sz w:val="20"/>
          <w:szCs w:val="20"/>
          <w:lang w:val="en-US"/>
        </w:rPr>
        <w:t xml:space="preserve"> </w:t>
      </w:r>
      <w:r w:rsidRPr="00E01C93">
        <w:rPr>
          <w:rFonts w:eastAsia="Calibri" w:cstheme="minorHAnsi"/>
          <w:sz w:val="20"/>
          <w:szCs w:val="20"/>
          <w:lang w:val="en-US"/>
        </w:rPr>
        <w:t>(pp. 12-33). Durham: Duke University Press.</w:t>
      </w:r>
    </w:p>
    <w:p w14:paraId="7E5C9F94"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Campbell, J. (1949). </w:t>
      </w:r>
      <w:r w:rsidRPr="006F1A47">
        <w:rPr>
          <w:rFonts w:eastAsia="Calibri" w:cstheme="minorHAnsi"/>
          <w:i/>
          <w:iCs/>
          <w:sz w:val="20"/>
          <w:szCs w:val="20"/>
          <w:lang w:val="en-GB"/>
        </w:rPr>
        <w:t xml:space="preserve">The Hero </w:t>
      </w:r>
      <w:proofErr w:type="gramStart"/>
      <w:r w:rsidRPr="006F1A47">
        <w:rPr>
          <w:rFonts w:eastAsia="Calibri" w:cstheme="minorHAnsi"/>
          <w:i/>
          <w:iCs/>
          <w:sz w:val="20"/>
          <w:szCs w:val="20"/>
          <w:lang w:val="en-GB"/>
        </w:rPr>
        <w:t>With</w:t>
      </w:r>
      <w:proofErr w:type="gramEnd"/>
      <w:r w:rsidRPr="006F1A47">
        <w:rPr>
          <w:rFonts w:eastAsia="Calibri" w:cstheme="minorHAnsi"/>
          <w:i/>
          <w:iCs/>
          <w:sz w:val="20"/>
          <w:szCs w:val="20"/>
          <w:lang w:val="en-GB"/>
        </w:rPr>
        <w:t xml:space="preserve"> a Thousand Faces</w:t>
      </w:r>
      <w:r w:rsidRPr="006F1A47">
        <w:rPr>
          <w:rFonts w:eastAsia="Calibri" w:cstheme="minorHAnsi"/>
          <w:iCs/>
          <w:sz w:val="20"/>
          <w:szCs w:val="20"/>
          <w:lang w:val="en-GB"/>
        </w:rPr>
        <w:t>. New York, NY: MJF Books.</w:t>
      </w:r>
    </w:p>
    <w:p w14:paraId="4262D9F7"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Chatman, S. B. (1978). </w:t>
      </w:r>
      <w:r w:rsidRPr="006F1A47">
        <w:rPr>
          <w:rFonts w:eastAsia="Calibri" w:cstheme="minorHAnsi"/>
          <w:i/>
          <w:iCs/>
          <w:sz w:val="20"/>
          <w:szCs w:val="20"/>
          <w:lang w:val="en-GB"/>
        </w:rPr>
        <w:t>Story and Discourse: Narrative Structure in Fiction and Film</w:t>
      </w:r>
      <w:r w:rsidRPr="006F1A47">
        <w:rPr>
          <w:rFonts w:eastAsia="Calibri" w:cstheme="minorHAnsi"/>
          <w:iCs/>
          <w:sz w:val="20"/>
          <w:szCs w:val="20"/>
          <w:lang w:val="en-GB"/>
        </w:rPr>
        <w:t>. Ithaca, NY &amp; London: Cornell University Press.</w:t>
      </w:r>
    </w:p>
    <w:p w14:paraId="6550B377" w14:textId="77777777" w:rsidR="006F1A47" w:rsidRPr="00E01C93" w:rsidRDefault="006F1A47" w:rsidP="00D75845">
      <w:pPr>
        <w:jc w:val="both"/>
        <w:rPr>
          <w:rFonts w:eastAsia="Calibri" w:cstheme="minorHAnsi"/>
          <w:iCs/>
          <w:sz w:val="20"/>
          <w:szCs w:val="20"/>
        </w:rPr>
      </w:pPr>
      <w:r w:rsidRPr="00E01C93">
        <w:rPr>
          <w:rFonts w:eastAsia="Calibri" w:cstheme="minorHAnsi"/>
          <w:iCs/>
          <w:sz w:val="20"/>
          <w:szCs w:val="20"/>
          <w:lang w:val="en-US"/>
        </w:rPr>
        <w:t xml:space="preserve">Davidson, D. et al. (2010). </w:t>
      </w:r>
      <w:r w:rsidRPr="00E01C93">
        <w:rPr>
          <w:rFonts w:eastAsia="Calibri" w:cstheme="minorHAnsi"/>
          <w:i/>
          <w:iCs/>
          <w:sz w:val="20"/>
          <w:szCs w:val="20"/>
          <w:lang w:val="en-US"/>
        </w:rPr>
        <w:t>Cross-Media Communications: An Introduction to the Art of</w:t>
      </w:r>
      <w:r w:rsidRPr="00E01C93">
        <w:rPr>
          <w:rFonts w:eastAsia="Calibri" w:cstheme="minorHAnsi"/>
          <w:i/>
          <w:iCs/>
          <w:sz w:val="20"/>
          <w:szCs w:val="20"/>
          <w:lang w:val="en-US"/>
        </w:rPr>
        <w:br/>
        <w:t>Creating Integrated Media Experiences</w:t>
      </w:r>
      <w:r w:rsidRPr="00E01C93">
        <w:rPr>
          <w:rFonts w:eastAsia="Calibri" w:cstheme="minorHAnsi"/>
          <w:iCs/>
          <w:sz w:val="20"/>
          <w:szCs w:val="20"/>
          <w:lang w:val="en-US"/>
        </w:rPr>
        <w:t>. Pittsburgh</w:t>
      </w:r>
      <w:r w:rsidRPr="00E01C93">
        <w:rPr>
          <w:rFonts w:eastAsia="Calibri" w:cstheme="minorHAnsi"/>
          <w:iCs/>
          <w:sz w:val="20"/>
          <w:szCs w:val="20"/>
        </w:rPr>
        <w:t xml:space="preserve">: </w:t>
      </w:r>
      <w:r w:rsidRPr="00E01C93">
        <w:rPr>
          <w:rFonts w:eastAsia="Calibri" w:cstheme="minorHAnsi"/>
          <w:iCs/>
          <w:sz w:val="20"/>
          <w:szCs w:val="20"/>
          <w:lang w:val="en-US"/>
        </w:rPr>
        <w:t>ETC</w:t>
      </w:r>
      <w:r w:rsidRPr="00E01C93">
        <w:rPr>
          <w:rFonts w:eastAsia="Calibri" w:cstheme="minorHAnsi"/>
          <w:iCs/>
          <w:sz w:val="20"/>
          <w:szCs w:val="20"/>
        </w:rPr>
        <w:t xml:space="preserve"> </w:t>
      </w:r>
      <w:r w:rsidRPr="00E01C93">
        <w:rPr>
          <w:rFonts w:eastAsia="Calibri" w:cstheme="minorHAnsi"/>
          <w:iCs/>
          <w:sz w:val="20"/>
          <w:szCs w:val="20"/>
          <w:lang w:val="en-US"/>
        </w:rPr>
        <w:t>Press</w:t>
      </w:r>
      <w:r w:rsidRPr="00E01C93">
        <w:rPr>
          <w:rFonts w:eastAsia="Calibri" w:cstheme="minorHAnsi"/>
          <w:iCs/>
          <w:sz w:val="20"/>
          <w:szCs w:val="20"/>
        </w:rPr>
        <w:t xml:space="preserve">. Ανακτήθηκε 12 Ιουνίου 2016 από: </w:t>
      </w:r>
      <w:r w:rsidR="00D75845">
        <w:fldChar w:fldCharType="begin"/>
      </w:r>
      <w:r w:rsidR="00D75845">
        <w:instrText xml:space="preserve"> HYPERLINK "http://press.etc.cmu.edu/content/cross-media-communications-br-introduction-art-creating-integrated-media-experiences" </w:instrText>
      </w:r>
      <w:r w:rsidR="00D75845">
        <w:fldChar w:fldCharType="separate"/>
      </w:r>
      <w:r w:rsidRPr="00E01C93">
        <w:rPr>
          <w:rFonts w:eastAsia="Calibri" w:cstheme="minorHAnsi"/>
          <w:color w:val="0563C1"/>
          <w:sz w:val="20"/>
          <w:szCs w:val="20"/>
          <w:u w:val="single"/>
          <w:lang w:val="en-US"/>
        </w:rPr>
        <w:t>http</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press</w:t>
      </w:r>
      <w:r w:rsidRPr="00E01C93">
        <w:rPr>
          <w:rFonts w:eastAsia="Calibri" w:cstheme="minorHAnsi"/>
          <w:color w:val="0563C1"/>
          <w:sz w:val="20"/>
          <w:szCs w:val="20"/>
          <w:u w:val="single"/>
        </w:rPr>
        <w:t>.</w:t>
      </w:r>
      <w:proofErr w:type="spellStart"/>
      <w:r w:rsidRPr="00E01C93">
        <w:rPr>
          <w:rFonts w:eastAsia="Calibri" w:cstheme="minorHAnsi"/>
          <w:color w:val="0563C1"/>
          <w:sz w:val="20"/>
          <w:szCs w:val="20"/>
          <w:u w:val="single"/>
          <w:lang w:val="en-US"/>
        </w:rPr>
        <w:t>etc</w:t>
      </w:r>
      <w:proofErr w:type="spellEnd"/>
      <w:r w:rsidRPr="00E01C93">
        <w:rPr>
          <w:rFonts w:eastAsia="Calibri" w:cstheme="minorHAnsi"/>
          <w:color w:val="0563C1"/>
          <w:sz w:val="20"/>
          <w:szCs w:val="20"/>
          <w:u w:val="single"/>
        </w:rPr>
        <w:t>.</w:t>
      </w:r>
      <w:proofErr w:type="spellStart"/>
      <w:r w:rsidRPr="00E01C93">
        <w:rPr>
          <w:rFonts w:eastAsia="Calibri" w:cstheme="minorHAnsi"/>
          <w:color w:val="0563C1"/>
          <w:sz w:val="20"/>
          <w:szCs w:val="20"/>
          <w:u w:val="single"/>
          <w:lang w:val="en-US"/>
        </w:rPr>
        <w:t>cmu</w:t>
      </w:r>
      <w:proofErr w:type="spellEnd"/>
      <w:r w:rsidRPr="00E01C93">
        <w:rPr>
          <w:rFonts w:eastAsia="Calibri" w:cstheme="minorHAnsi"/>
          <w:color w:val="0563C1"/>
          <w:sz w:val="20"/>
          <w:szCs w:val="20"/>
          <w:u w:val="single"/>
        </w:rPr>
        <w:t>.</w:t>
      </w:r>
      <w:proofErr w:type="spellStart"/>
      <w:r w:rsidRPr="00E01C93">
        <w:rPr>
          <w:rFonts w:eastAsia="Calibri" w:cstheme="minorHAnsi"/>
          <w:color w:val="0563C1"/>
          <w:sz w:val="20"/>
          <w:szCs w:val="20"/>
          <w:u w:val="single"/>
          <w:lang w:val="en-US"/>
        </w:rPr>
        <w:t>edu</w:t>
      </w:r>
      <w:proofErr w:type="spellEnd"/>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content</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cross</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media</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communications</w:t>
      </w:r>
      <w:r w:rsidRPr="00E01C93">
        <w:rPr>
          <w:rFonts w:eastAsia="Calibri" w:cstheme="minorHAnsi"/>
          <w:color w:val="0563C1"/>
          <w:sz w:val="20"/>
          <w:szCs w:val="20"/>
          <w:u w:val="single"/>
        </w:rPr>
        <w:t>-</w:t>
      </w:r>
      <w:proofErr w:type="spellStart"/>
      <w:r w:rsidRPr="00E01C93">
        <w:rPr>
          <w:rFonts w:eastAsia="Calibri" w:cstheme="minorHAnsi"/>
          <w:color w:val="0563C1"/>
          <w:sz w:val="20"/>
          <w:szCs w:val="20"/>
          <w:u w:val="single"/>
          <w:lang w:val="en-US"/>
        </w:rPr>
        <w:t>br</w:t>
      </w:r>
      <w:proofErr w:type="spellEnd"/>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introduction</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art</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creating</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integrated</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media</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experiences</w:t>
      </w:r>
      <w:r w:rsidR="00D75845">
        <w:rPr>
          <w:rFonts w:eastAsia="Calibri" w:cstheme="minorHAnsi"/>
          <w:color w:val="0563C1"/>
          <w:sz w:val="20"/>
          <w:szCs w:val="20"/>
          <w:u w:val="single"/>
          <w:lang w:val="en-US"/>
        </w:rPr>
        <w:fldChar w:fldCharType="end"/>
      </w:r>
      <w:r w:rsidRPr="00E01C93">
        <w:rPr>
          <w:rFonts w:eastAsia="Calibri" w:cstheme="minorHAnsi"/>
          <w:iCs/>
          <w:sz w:val="20"/>
          <w:szCs w:val="20"/>
        </w:rPr>
        <w:t xml:space="preserve"> .</w:t>
      </w:r>
    </w:p>
    <w:p w14:paraId="6401DB28"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Dena, C. (2009). </w:t>
      </w:r>
      <w:r w:rsidRPr="006F1A47">
        <w:rPr>
          <w:rFonts w:eastAsia="Calibri" w:cstheme="minorHAnsi"/>
          <w:i/>
          <w:iCs/>
          <w:sz w:val="20"/>
          <w:szCs w:val="20"/>
          <w:lang w:val="en-GB"/>
        </w:rPr>
        <w:t>Transmedia Practice: Theorising the Practice of Expressing a Fictional World across Distinct Media and Environments</w:t>
      </w:r>
      <w:r w:rsidRPr="006F1A47">
        <w:rPr>
          <w:rFonts w:eastAsia="Calibri" w:cstheme="minorHAnsi"/>
          <w:iCs/>
          <w:sz w:val="20"/>
          <w:szCs w:val="20"/>
          <w:lang w:val="en-GB"/>
        </w:rPr>
        <w:t>. (PhD dissertation, University of Sydney).</w:t>
      </w:r>
    </w:p>
    <w:p w14:paraId="36418232"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Freytag, G. (1900). </w:t>
      </w:r>
      <w:r w:rsidRPr="006F1A47">
        <w:rPr>
          <w:rFonts w:eastAsia="Calibri" w:cstheme="minorHAnsi"/>
          <w:i/>
          <w:iCs/>
          <w:sz w:val="20"/>
          <w:szCs w:val="20"/>
          <w:lang w:val="en-GB"/>
        </w:rPr>
        <w:t>Technique of drama. An exposition of dramatic composition</w:t>
      </w:r>
      <w:r w:rsidRPr="006F1A47">
        <w:rPr>
          <w:rFonts w:eastAsia="Calibri" w:cstheme="minorHAnsi"/>
          <w:i/>
          <w:iCs/>
          <w:sz w:val="20"/>
          <w:szCs w:val="20"/>
          <w:lang w:val="en-GB"/>
        </w:rPr>
        <w:br/>
        <w:t>and art</w:t>
      </w:r>
      <w:r w:rsidRPr="006F1A47">
        <w:rPr>
          <w:rFonts w:eastAsia="Calibri" w:cstheme="minorHAnsi"/>
          <w:iCs/>
          <w:sz w:val="20"/>
          <w:szCs w:val="20"/>
          <w:lang w:val="en-GB"/>
        </w:rPr>
        <w:t>. Chicago: Scott Foresman Company.</w:t>
      </w:r>
    </w:p>
    <w:p w14:paraId="0A2C8AE3" w14:textId="77777777" w:rsidR="006F1A47" w:rsidRPr="006F1A47" w:rsidRDefault="006F1A47" w:rsidP="00D75845">
      <w:pPr>
        <w:jc w:val="both"/>
        <w:rPr>
          <w:rFonts w:eastAsia="Calibri" w:cstheme="minorHAnsi"/>
          <w:iCs/>
          <w:sz w:val="20"/>
          <w:szCs w:val="20"/>
          <w:lang w:val="en-GB"/>
        </w:rPr>
      </w:pPr>
      <w:proofErr w:type="spellStart"/>
      <w:r w:rsidRPr="006F1A47">
        <w:rPr>
          <w:rFonts w:eastAsia="Calibri" w:cstheme="minorHAnsi"/>
          <w:iCs/>
          <w:sz w:val="20"/>
          <w:szCs w:val="20"/>
          <w:lang w:val="en-GB"/>
        </w:rPr>
        <w:lastRenderedPageBreak/>
        <w:t>Gambarato</w:t>
      </w:r>
      <w:proofErr w:type="spellEnd"/>
      <w:r w:rsidRPr="006F1A47">
        <w:rPr>
          <w:rFonts w:eastAsia="Calibri" w:cstheme="minorHAnsi"/>
          <w:iCs/>
          <w:sz w:val="20"/>
          <w:szCs w:val="20"/>
          <w:lang w:val="en-GB"/>
        </w:rPr>
        <w:t xml:space="preserve">, R. R. (2013). Transmedia Project Design: Theoretical and Analytical Considerations. In </w:t>
      </w:r>
      <w:r w:rsidRPr="006F1A47">
        <w:rPr>
          <w:rFonts w:eastAsia="Calibri" w:cstheme="minorHAnsi"/>
          <w:i/>
          <w:iCs/>
          <w:sz w:val="20"/>
          <w:szCs w:val="20"/>
          <w:lang w:val="en-GB"/>
        </w:rPr>
        <w:t>Baltic Screen Media Review</w:t>
      </w:r>
      <w:r w:rsidRPr="006F1A47">
        <w:rPr>
          <w:rFonts w:eastAsia="Calibri" w:cstheme="minorHAnsi"/>
          <w:iCs/>
          <w:sz w:val="20"/>
          <w:szCs w:val="20"/>
          <w:lang w:val="en-GB"/>
        </w:rPr>
        <w:t xml:space="preserve">, n.1, </w:t>
      </w:r>
      <w:r w:rsidRPr="00E01C93">
        <w:rPr>
          <w:rFonts w:eastAsia="Calibri" w:cstheme="minorHAnsi"/>
          <w:iCs/>
          <w:sz w:val="20"/>
          <w:szCs w:val="20"/>
          <w:lang w:val="en-US"/>
        </w:rPr>
        <w:t>(pp.</w:t>
      </w:r>
      <w:r w:rsidRPr="006F1A47">
        <w:rPr>
          <w:rFonts w:eastAsia="Calibri" w:cstheme="minorHAnsi"/>
          <w:iCs/>
          <w:sz w:val="20"/>
          <w:szCs w:val="20"/>
          <w:lang w:val="en-GB"/>
        </w:rPr>
        <w:t>80-100).</w:t>
      </w:r>
    </w:p>
    <w:p w14:paraId="69D8EE52" w14:textId="77777777" w:rsidR="006F1A47" w:rsidRPr="006F1A47" w:rsidRDefault="006F1A47" w:rsidP="00D75845">
      <w:pPr>
        <w:jc w:val="both"/>
        <w:rPr>
          <w:rFonts w:eastAsia="Calibri" w:cstheme="minorHAnsi"/>
          <w:iCs/>
          <w:sz w:val="20"/>
          <w:szCs w:val="20"/>
          <w:lang w:val="en-GB"/>
        </w:rPr>
      </w:pPr>
      <w:proofErr w:type="spellStart"/>
      <w:r w:rsidRPr="006F1A47">
        <w:rPr>
          <w:rFonts w:eastAsia="Calibri" w:cstheme="minorHAnsi"/>
          <w:iCs/>
          <w:sz w:val="20"/>
          <w:szCs w:val="20"/>
          <w:lang w:val="en-GB"/>
        </w:rPr>
        <w:t>Gambarato</w:t>
      </w:r>
      <w:proofErr w:type="spellEnd"/>
      <w:r w:rsidRPr="006F1A47">
        <w:rPr>
          <w:rFonts w:eastAsia="Calibri" w:cstheme="minorHAnsi"/>
          <w:iCs/>
          <w:sz w:val="20"/>
          <w:szCs w:val="20"/>
          <w:lang w:val="en-GB"/>
        </w:rPr>
        <w:t xml:space="preserve">, R. R. (2014, June). Transmedia storytelling in analysis, the case of Final Punishment. In </w:t>
      </w:r>
      <w:r w:rsidRPr="006F1A47">
        <w:rPr>
          <w:rFonts w:eastAsia="Calibri" w:cstheme="minorHAnsi"/>
          <w:i/>
          <w:iCs/>
          <w:sz w:val="20"/>
          <w:szCs w:val="20"/>
          <w:lang w:val="en-GB"/>
        </w:rPr>
        <w:t>Journal of Print and Media Technology Research</w:t>
      </w:r>
      <w:r w:rsidRPr="006F1A47">
        <w:rPr>
          <w:rFonts w:eastAsia="Calibri" w:cstheme="minorHAnsi"/>
          <w:iCs/>
          <w:sz w:val="20"/>
          <w:szCs w:val="20"/>
          <w:lang w:val="en-GB"/>
        </w:rPr>
        <w:t>, (pp. 95-106).</w:t>
      </w:r>
    </w:p>
    <w:p w14:paraId="423BA10C" w14:textId="77777777" w:rsidR="006F1A47" w:rsidRPr="00E01C93" w:rsidRDefault="006F1A47" w:rsidP="00D75845">
      <w:pPr>
        <w:jc w:val="both"/>
        <w:rPr>
          <w:rFonts w:eastAsia="Calibri" w:cstheme="minorHAnsi"/>
          <w:sz w:val="20"/>
          <w:szCs w:val="20"/>
          <w:lang w:val="en-US"/>
        </w:rPr>
      </w:pPr>
      <w:proofErr w:type="spellStart"/>
      <w:r w:rsidRPr="00E01C93">
        <w:rPr>
          <w:rFonts w:eastAsia="Calibri" w:cstheme="minorHAnsi"/>
          <w:iCs/>
          <w:sz w:val="20"/>
          <w:szCs w:val="20"/>
          <w:lang w:val="en-US"/>
        </w:rPr>
        <w:t>Gitelman</w:t>
      </w:r>
      <w:proofErr w:type="spellEnd"/>
      <w:r w:rsidRPr="00E01C93">
        <w:rPr>
          <w:rFonts w:eastAsia="Calibri" w:cstheme="minorHAnsi"/>
          <w:iCs/>
          <w:sz w:val="20"/>
          <w:szCs w:val="20"/>
          <w:lang w:val="en-US"/>
        </w:rPr>
        <w:t xml:space="preserve">, L. (2006). </w:t>
      </w:r>
      <w:r w:rsidRPr="00E01C93">
        <w:rPr>
          <w:rFonts w:eastAsia="Calibri" w:cstheme="minorHAnsi"/>
          <w:i/>
          <w:iCs/>
          <w:sz w:val="20"/>
          <w:szCs w:val="20"/>
          <w:lang w:val="en-US"/>
        </w:rPr>
        <w:t>Always Already New: Media, History, and the Data of Culture</w:t>
      </w:r>
      <w:r w:rsidRPr="00E01C93">
        <w:rPr>
          <w:rFonts w:eastAsia="Calibri" w:cstheme="minorHAnsi"/>
          <w:sz w:val="20"/>
          <w:szCs w:val="20"/>
          <w:lang w:val="en-US"/>
        </w:rPr>
        <w:t>. Cambridge, MA: The MIT Press.</w:t>
      </w:r>
    </w:p>
    <w:p w14:paraId="049E1A5C" w14:textId="77777777" w:rsidR="006F1A47" w:rsidRPr="00E01C93" w:rsidRDefault="006F1A47" w:rsidP="00D75845">
      <w:pPr>
        <w:jc w:val="both"/>
        <w:rPr>
          <w:rFonts w:eastAsia="Calibri" w:cstheme="minorHAnsi"/>
          <w:sz w:val="20"/>
          <w:szCs w:val="20"/>
          <w:lang w:val="en-US"/>
        </w:rPr>
      </w:pPr>
      <w:r w:rsidRPr="006F1A47">
        <w:rPr>
          <w:rFonts w:eastAsia="Calibri" w:cstheme="minorHAnsi"/>
          <w:iCs/>
          <w:sz w:val="20"/>
          <w:szCs w:val="20"/>
          <w:lang w:val="en-GB"/>
        </w:rPr>
        <w:t xml:space="preserve">Gwenllian-Jones, S., &amp; Roberta, P. (2004). </w:t>
      </w:r>
      <w:r w:rsidRPr="006F1A47">
        <w:rPr>
          <w:rFonts w:eastAsia="Calibri" w:cstheme="minorHAnsi"/>
          <w:i/>
          <w:iCs/>
          <w:sz w:val="20"/>
          <w:szCs w:val="20"/>
          <w:lang w:val="en-GB"/>
        </w:rPr>
        <w:t>Cult Television</w:t>
      </w:r>
      <w:r w:rsidRPr="006F1A47">
        <w:rPr>
          <w:rFonts w:eastAsia="Calibri" w:cstheme="minorHAnsi"/>
          <w:iCs/>
          <w:sz w:val="20"/>
          <w:szCs w:val="20"/>
          <w:lang w:val="en-GB"/>
        </w:rPr>
        <w:t>. Minneapolis: University of Minneapolis Press.</w:t>
      </w:r>
    </w:p>
    <w:p w14:paraId="4065FC76" w14:textId="77777777" w:rsidR="006F1A47" w:rsidRPr="00E01C93" w:rsidRDefault="006F1A47" w:rsidP="00D75845">
      <w:pPr>
        <w:jc w:val="both"/>
        <w:rPr>
          <w:rFonts w:eastAsia="Calibri" w:cstheme="minorHAnsi"/>
          <w:sz w:val="20"/>
          <w:szCs w:val="20"/>
        </w:rPr>
      </w:pPr>
      <w:r w:rsidRPr="00E01C93">
        <w:rPr>
          <w:rFonts w:eastAsia="Calibri" w:cstheme="minorHAnsi"/>
          <w:sz w:val="20"/>
          <w:szCs w:val="20"/>
          <w:lang w:val="en-US"/>
        </w:rPr>
        <w:t xml:space="preserve">Ito, M. (2008). Gender Dynamics of the Japanese Media Mix. In Y. B. Kafai, C. </w:t>
      </w:r>
      <w:proofErr w:type="spellStart"/>
      <w:r w:rsidRPr="00E01C93">
        <w:rPr>
          <w:rFonts w:eastAsia="Calibri" w:cstheme="minorHAnsi"/>
          <w:sz w:val="20"/>
          <w:szCs w:val="20"/>
          <w:lang w:val="en-US"/>
        </w:rPr>
        <w:t>Heeter</w:t>
      </w:r>
      <w:proofErr w:type="spellEnd"/>
      <w:r w:rsidRPr="00E01C93">
        <w:rPr>
          <w:rFonts w:eastAsia="Calibri" w:cstheme="minorHAnsi"/>
          <w:sz w:val="20"/>
          <w:szCs w:val="20"/>
          <w:lang w:val="en-US"/>
        </w:rPr>
        <w:t xml:space="preserve">, J. </w:t>
      </w:r>
      <w:proofErr w:type="spellStart"/>
      <w:r w:rsidRPr="00E01C93">
        <w:rPr>
          <w:rFonts w:eastAsia="Calibri" w:cstheme="minorHAnsi"/>
          <w:sz w:val="20"/>
          <w:szCs w:val="20"/>
          <w:lang w:val="en-US"/>
        </w:rPr>
        <w:t>Denner</w:t>
      </w:r>
      <w:proofErr w:type="spellEnd"/>
      <w:r w:rsidRPr="00E01C93">
        <w:rPr>
          <w:rFonts w:eastAsia="Calibri" w:cstheme="minorHAnsi"/>
          <w:sz w:val="20"/>
          <w:szCs w:val="20"/>
          <w:lang w:val="en-US"/>
        </w:rPr>
        <w:t xml:space="preserve"> &amp; J. Y. Sun (Eds.), </w:t>
      </w:r>
      <w:r w:rsidRPr="00E01C93">
        <w:rPr>
          <w:rFonts w:eastAsia="Calibri" w:cstheme="minorHAnsi"/>
          <w:i/>
          <w:iCs/>
          <w:sz w:val="20"/>
          <w:szCs w:val="20"/>
          <w:lang w:val="en-US"/>
        </w:rPr>
        <w:t>Beyond Barbie and Mortal Kombat: New Perspectives</w:t>
      </w:r>
      <w:r w:rsidRPr="00E01C93">
        <w:rPr>
          <w:rFonts w:eastAsia="Calibri" w:cstheme="minorHAnsi"/>
          <w:i/>
          <w:sz w:val="20"/>
          <w:szCs w:val="20"/>
          <w:lang w:val="en-US"/>
        </w:rPr>
        <w:t xml:space="preserve"> </w:t>
      </w:r>
      <w:r w:rsidRPr="00E01C93">
        <w:rPr>
          <w:rFonts w:eastAsia="Calibri" w:cstheme="minorHAnsi"/>
          <w:i/>
          <w:iCs/>
          <w:sz w:val="20"/>
          <w:szCs w:val="20"/>
          <w:lang w:val="en-US"/>
        </w:rPr>
        <w:t>on Gender and Gaming</w:t>
      </w:r>
      <w:r w:rsidRPr="00E01C93">
        <w:rPr>
          <w:rFonts w:eastAsia="Calibri" w:cstheme="minorHAnsi"/>
          <w:iCs/>
          <w:sz w:val="20"/>
          <w:szCs w:val="20"/>
          <w:lang w:val="en-US"/>
        </w:rPr>
        <w:t xml:space="preserve">, </w:t>
      </w:r>
      <w:r w:rsidRPr="00E01C93">
        <w:rPr>
          <w:rFonts w:eastAsia="Calibri" w:cstheme="minorHAnsi"/>
          <w:sz w:val="20"/>
          <w:szCs w:val="20"/>
          <w:lang w:val="en-US"/>
        </w:rPr>
        <w:t xml:space="preserve">(pp. 97-110). </w:t>
      </w:r>
      <w:r w:rsidRPr="00E01C93">
        <w:rPr>
          <w:rFonts w:eastAsia="Calibri" w:cstheme="minorHAnsi"/>
          <w:sz w:val="20"/>
          <w:szCs w:val="20"/>
        </w:rPr>
        <w:t xml:space="preserve">Cambridge, MIT. Ανακτήθηκε 9 Μαΐου 2016 από: </w:t>
      </w:r>
      <w:r w:rsidRPr="00E01C93">
        <w:rPr>
          <w:rFonts w:eastAsia="Calibri" w:cstheme="minorHAnsi"/>
          <w:iCs/>
          <w:sz w:val="20"/>
          <w:szCs w:val="20"/>
          <w:u w:val="single"/>
        </w:rPr>
        <w:t>http://www.itofisher.com/mito/ito.girlsgames.pdf</w:t>
      </w:r>
      <w:r w:rsidRPr="00E01C93">
        <w:rPr>
          <w:rFonts w:eastAsia="Calibri" w:cstheme="minorHAnsi"/>
          <w:sz w:val="20"/>
          <w:szCs w:val="20"/>
        </w:rPr>
        <w:t>.</w:t>
      </w:r>
    </w:p>
    <w:p w14:paraId="239307D2" w14:textId="77777777" w:rsidR="006F1A47" w:rsidRPr="00E01C93" w:rsidRDefault="006F1A47" w:rsidP="00D75845">
      <w:pPr>
        <w:jc w:val="both"/>
        <w:rPr>
          <w:rFonts w:eastAsia="Calibri" w:cstheme="minorHAnsi"/>
          <w:sz w:val="20"/>
          <w:szCs w:val="20"/>
          <w:lang w:val="en-US"/>
        </w:rPr>
      </w:pPr>
      <w:r w:rsidRPr="00E01C93">
        <w:rPr>
          <w:rFonts w:eastAsia="Calibri" w:cstheme="minorHAnsi"/>
          <w:sz w:val="20"/>
          <w:szCs w:val="20"/>
          <w:lang w:val="en-US"/>
        </w:rPr>
        <w:t xml:space="preserve">Jenkins, H. (2006). </w:t>
      </w:r>
      <w:r w:rsidRPr="00E01C93">
        <w:rPr>
          <w:rFonts w:eastAsia="Calibri" w:cstheme="minorHAnsi"/>
          <w:i/>
          <w:sz w:val="20"/>
          <w:szCs w:val="20"/>
          <w:lang w:val="en-US"/>
        </w:rPr>
        <w:t>Convergence Culture: Where Old and New Media Collide</w:t>
      </w:r>
      <w:r w:rsidRPr="00E01C93">
        <w:rPr>
          <w:rFonts w:eastAsia="Calibri" w:cstheme="minorHAnsi"/>
          <w:sz w:val="20"/>
          <w:szCs w:val="20"/>
          <w:lang w:val="en-US"/>
        </w:rPr>
        <w:t>. New York: New York University Press.</w:t>
      </w:r>
    </w:p>
    <w:p w14:paraId="5A9FCBAB"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Jenkins, H. (2007, March 22). Transmedia Storytelling 101. </w:t>
      </w:r>
      <w:r w:rsidRPr="006F1A47">
        <w:rPr>
          <w:rFonts w:eastAsia="Calibri" w:cstheme="minorHAnsi"/>
          <w:i/>
          <w:iCs/>
          <w:sz w:val="20"/>
          <w:szCs w:val="20"/>
          <w:lang w:val="en-GB"/>
        </w:rPr>
        <w:t>Confessions of an Aca-Fan, The Official Weblog of Henry Jenkins</w:t>
      </w:r>
      <w:r w:rsidRPr="006F1A47">
        <w:rPr>
          <w:rFonts w:eastAsia="Calibri" w:cstheme="minorHAnsi"/>
          <w:iCs/>
          <w:sz w:val="20"/>
          <w:szCs w:val="20"/>
          <w:lang w:val="en-GB"/>
        </w:rPr>
        <w:t xml:space="preserve">. </w:t>
      </w:r>
      <w:r w:rsidRPr="00E01C93">
        <w:rPr>
          <w:rFonts w:eastAsia="Calibri" w:cstheme="minorHAnsi"/>
          <w:iCs/>
          <w:sz w:val="20"/>
          <w:szCs w:val="20"/>
        </w:rPr>
        <w:t>Ανακτήθηκε</w:t>
      </w:r>
      <w:r w:rsidRPr="006F1A47">
        <w:rPr>
          <w:rFonts w:eastAsia="Calibri" w:cstheme="minorHAnsi"/>
          <w:iCs/>
          <w:sz w:val="20"/>
          <w:szCs w:val="20"/>
          <w:lang w:val="en-GB"/>
        </w:rPr>
        <w:t xml:space="preserve"> 10 </w:t>
      </w:r>
      <w:r w:rsidRPr="00E01C93">
        <w:rPr>
          <w:rFonts w:eastAsia="Calibri" w:cstheme="minorHAnsi"/>
          <w:iCs/>
          <w:sz w:val="20"/>
          <w:szCs w:val="20"/>
        </w:rPr>
        <w:t>Οκτωβρίου</w:t>
      </w:r>
      <w:r w:rsidRPr="006F1A47">
        <w:rPr>
          <w:rFonts w:eastAsia="Calibri" w:cstheme="minorHAnsi"/>
          <w:iCs/>
          <w:sz w:val="20"/>
          <w:szCs w:val="20"/>
          <w:lang w:val="en-GB"/>
        </w:rPr>
        <w:t xml:space="preserve"> 2015 </w:t>
      </w:r>
      <w:r w:rsidRPr="00E01C93">
        <w:rPr>
          <w:rFonts w:eastAsia="Calibri" w:cstheme="minorHAnsi"/>
          <w:iCs/>
          <w:sz w:val="20"/>
          <w:szCs w:val="20"/>
        </w:rPr>
        <w:t>από</w:t>
      </w:r>
      <w:r w:rsidRPr="006F1A47">
        <w:rPr>
          <w:rFonts w:eastAsia="Calibri" w:cstheme="minorHAnsi"/>
          <w:iCs/>
          <w:sz w:val="20"/>
          <w:szCs w:val="20"/>
          <w:lang w:val="en-GB"/>
        </w:rPr>
        <w:t xml:space="preserve">: </w:t>
      </w:r>
      <w:hyperlink r:id="rId18" w:history="1">
        <w:r w:rsidRPr="006F1A47">
          <w:rPr>
            <w:rFonts w:eastAsia="Calibri" w:cstheme="minorHAnsi"/>
            <w:color w:val="0563C1"/>
            <w:sz w:val="20"/>
            <w:szCs w:val="20"/>
            <w:u w:val="single"/>
            <w:lang w:val="en-GB"/>
          </w:rPr>
          <w:t>http://henryjenkins.org/2007/03/transmedia_storytelling_101.html</w:t>
        </w:r>
      </w:hyperlink>
      <w:r w:rsidRPr="00E01C93">
        <w:rPr>
          <w:rFonts w:eastAsia="Calibri" w:cstheme="minorHAnsi"/>
          <w:iCs/>
          <w:sz w:val="20"/>
          <w:szCs w:val="20"/>
          <w:lang w:val="en-US"/>
        </w:rPr>
        <w:t xml:space="preserve">. </w:t>
      </w:r>
    </w:p>
    <w:p w14:paraId="3F554ACB" w14:textId="77777777" w:rsidR="006F1A47" w:rsidRPr="00E01C93" w:rsidRDefault="006F1A47" w:rsidP="00D75845">
      <w:pPr>
        <w:jc w:val="both"/>
        <w:rPr>
          <w:rFonts w:eastAsia="Calibri" w:cstheme="minorHAnsi"/>
          <w:sz w:val="20"/>
          <w:szCs w:val="20"/>
          <w:lang w:val="en-US"/>
        </w:rPr>
      </w:pPr>
      <w:r w:rsidRPr="00E01C93">
        <w:rPr>
          <w:rFonts w:eastAsia="Calibri" w:cstheme="minorHAnsi"/>
          <w:sz w:val="20"/>
          <w:szCs w:val="20"/>
          <w:lang w:val="en-US"/>
        </w:rPr>
        <w:t xml:space="preserve">Jenkins, H., </w:t>
      </w:r>
      <w:proofErr w:type="spellStart"/>
      <w:r w:rsidRPr="00E01C93">
        <w:rPr>
          <w:rFonts w:eastAsia="Calibri" w:cstheme="minorHAnsi"/>
          <w:sz w:val="20"/>
          <w:szCs w:val="20"/>
          <w:lang w:val="en-US"/>
        </w:rPr>
        <w:t>Purushotma</w:t>
      </w:r>
      <w:proofErr w:type="spellEnd"/>
      <w:r w:rsidRPr="00E01C93">
        <w:rPr>
          <w:rFonts w:eastAsia="Calibri" w:cstheme="minorHAnsi"/>
          <w:sz w:val="20"/>
          <w:szCs w:val="20"/>
          <w:lang w:val="en-US"/>
        </w:rPr>
        <w:t xml:space="preserve">, R., Weigel, M., Clinton, K., &amp; Robison, J. A. (2009). </w:t>
      </w:r>
      <w:r w:rsidRPr="00E01C93">
        <w:rPr>
          <w:rFonts w:eastAsia="Calibri" w:cstheme="minorHAnsi"/>
          <w:i/>
          <w:sz w:val="20"/>
          <w:szCs w:val="20"/>
          <w:lang w:val="en-US"/>
        </w:rPr>
        <w:t>Confronting the Challenges of Participatory Culture - Media Education for the 21st Century</w:t>
      </w:r>
      <w:r w:rsidRPr="00E01C93">
        <w:rPr>
          <w:rFonts w:eastAsia="Calibri" w:cstheme="minorHAnsi"/>
          <w:sz w:val="20"/>
          <w:szCs w:val="20"/>
          <w:lang w:val="en-US"/>
        </w:rPr>
        <w:t>. Cambridge, Massachusetts, London, England: The MIT Press.</w:t>
      </w:r>
    </w:p>
    <w:p w14:paraId="46232842" w14:textId="77777777" w:rsidR="006F1A47" w:rsidRPr="00E01C93" w:rsidRDefault="006F1A47" w:rsidP="00D75845">
      <w:pPr>
        <w:jc w:val="both"/>
        <w:rPr>
          <w:rFonts w:eastAsia="Calibri" w:cstheme="minorHAnsi"/>
          <w:iCs/>
          <w:sz w:val="20"/>
          <w:szCs w:val="20"/>
        </w:rPr>
      </w:pPr>
      <w:r w:rsidRPr="006F1A47">
        <w:rPr>
          <w:rFonts w:eastAsia="Calibri" w:cstheme="minorHAnsi"/>
          <w:iCs/>
          <w:sz w:val="20"/>
          <w:szCs w:val="20"/>
          <w:lang w:val="en-GB"/>
        </w:rPr>
        <w:t xml:space="preserve">Jenkins, H. (2011, August 1). Transmedia 202: Further Reflections. </w:t>
      </w:r>
      <w:r w:rsidRPr="006F1A47">
        <w:rPr>
          <w:rFonts w:eastAsia="Calibri" w:cstheme="minorHAnsi"/>
          <w:i/>
          <w:iCs/>
          <w:sz w:val="20"/>
          <w:szCs w:val="20"/>
          <w:lang w:val="en-GB"/>
        </w:rPr>
        <w:t>Confessions of an Aca-Fan, The Official Weblog of Henry Jenkins.</w:t>
      </w:r>
      <w:r w:rsidRPr="006F1A47">
        <w:rPr>
          <w:rFonts w:eastAsia="Calibri" w:cstheme="minorHAnsi"/>
          <w:iCs/>
          <w:sz w:val="20"/>
          <w:szCs w:val="20"/>
          <w:lang w:val="en-GB"/>
        </w:rPr>
        <w:t xml:space="preserve"> </w:t>
      </w:r>
      <w:r w:rsidRPr="00E01C93">
        <w:rPr>
          <w:rFonts w:eastAsia="Calibri" w:cstheme="minorHAnsi"/>
          <w:iCs/>
          <w:sz w:val="20"/>
          <w:szCs w:val="20"/>
        </w:rPr>
        <w:t xml:space="preserve">Ανακτήθηκε 10 Οκτωβρίου 2015 από: </w:t>
      </w:r>
      <w:hyperlink r:id="rId19" w:history="1">
        <w:r w:rsidRPr="00E01C93">
          <w:rPr>
            <w:rFonts w:eastAsia="Calibri" w:cstheme="minorHAnsi"/>
            <w:color w:val="0563C1"/>
            <w:sz w:val="20"/>
            <w:szCs w:val="20"/>
            <w:u w:val="single"/>
          </w:rPr>
          <w:t>http://henryjenkins.org/2011/08/defining_transmedia_further_re.html</w:t>
        </w:r>
      </w:hyperlink>
      <w:r w:rsidRPr="00E01C93">
        <w:rPr>
          <w:rFonts w:eastAsia="Calibri" w:cstheme="minorHAnsi"/>
          <w:iCs/>
          <w:sz w:val="20"/>
          <w:szCs w:val="20"/>
        </w:rPr>
        <w:t>.</w:t>
      </w:r>
    </w:p>
    <w:p w14:paraId="4DCC5600"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Jung, C. G. (1969). </w:t>
      </w:r>
      <w:r w:rsidRPr="006F1A47">
        <w:rPr>
          <w:rFonts w:eastAsia="Calibri" w:cstheme="minorHAnsi"/>
          <w:i/>
          <w:iCs/>
          <w:sz w:val="20"/>
          <w:szCs w:val="20"/>
          <w:lang w:val="en-GB"/>
        </w:rPr>
        <w:t>Archetypes and the Collective Unconscious, Collected Works of C.G. Jung</w:t>
      </w:r>
      <w:r w:rsidRPr="006F1A47">
        <w:rPr>
          <w:rFonts w:eastAsia="Calibri" w:cstheme="minorHAnsi"/>
          <w:iCs/>
          <w:sz w:val="20"/>
          <w:szCs w:val="20"/>
          <w:lang w:val="en-GB"/>
        </w:rPr>
        <w:t>. Volume 9 (Part 1). Princeton, N.J.: Princeton University Press.</w:t>
      </w:r>
    </w:p>
    <w:p w14:paraId="330C18AA" w14:textId="77777777" w:rsidR="006F1A47" w:rsidRPr="00E01C93" w:rsidRDefault="006F1A47" w:rsidP="00D75845">
      <w:pPr>
        <w:jc w:val="both"/>
        <w:rPr>
          <w:rFonts w:eastAsia="Calibri" w:cstheme="minorHAnsi"/>
          <w:sz w:val="20"/>
          <w:szCs w:val="20"/>
          <w:lang w:val="en-US"/>
        </w:rPr>
      </w:pPr>
      <w:proofErr w:type="spellStart"/>
      <w:r w:rsidRPr="006F1A47">
        <w:rPr>
          <w:rFonts w:eastAsia="Calibri" w:cstheme="minorHAnsi"/>
          <w:iCs/>
          <w:sz w:val="20"/>
          <w:szCs w:val="20"/>
          <w:lang w:val="en-GB"/>
        </w:rPr>
        <w:t>Hannele</w:t>
      </w:r>
      <w:proofErr w:type="spellEnd"/>
      <w:r w:rsidRPr="006F1A47">
        <w:rPr>
          <w:rFonts w:eastAsia="Calibri" w:cstheme="minorHAnsi"/>
          <w:iCs/>
          <w:sz w:val="20"/>
          <w:szCs w:val="20"/>
          <w:lang w:val="en-GB"/>
        </w:rPr>
        <w:t xml:space="preserve">, A., Kangas, S., &amp; </w:t>
      </w:r>
      <w:proofErr w:type="spellStart"/>
      <w:r w:rsidRPr="006F1A47">
        <w:rPr>
          <w:rFonts w:eastAsia="Calibri" w:cstheme="minorHAnsi"/>
          <w:iCs/>
          <w:sz w:val="20"/>
          <w:szCs w:val="20"/>
          <w:lang w:val="en-GB"/>
        </w:rPr>
        <w:t>Vainikainen</w:t>
      </w:r>
      <w:proofErr w:type="spellEnd"/>
      <w:r w:rsidRPr="006F1A47">
        <w:rPr>
          <w:rFonts w:eastAsia="Calibri" w:cstheme="minorHAnsi"/>
          <w:iCs/>
          <w:sz w:val="20"/>
          <w:szCs w:val="20"/>
          <w:lang w:val="en-GB"/>
        </w:rPr>
        <w:t xml:space="preserve">, S. </w:t>
      </w:r>
      <w:r w:rsidRPr="006F1A47">
        <w:rPr>
          <w:rFonts w:eastAsia="Calibri" w:cstheme="minorHAnsi"/>
          <w:i/>
          <w:iCs/>
          <w:sz w:val="20"/>
          <w:szCs w:val="20"/>
          <w:lang w:val="en-GB"/>
        </w:rPr>
        <w:t>(2004). 'MGAIN Project: Three views on mobile cross media entertainment' [TTE4-2004-17].</w:t>
      </w:r>
      <w:r w:rsidRPr="006F1A47">
        <w:rPr>
          <w:rFonts w:eastAsia="Calibri" w:cstheme="minorHAnsi"/>
          <w:iCs/>
          <w:sz w:val="20"/>
          <w:szCs w:val="20"/>
          <w:lang w:val="en-GB"/>
        </w:rPr>
        <w:t xml:space="preserve"> </w:t>
      </w:r>
      <w:r w:rsidRPr="006F1A47">
        <w:rPr>
          <w:rFonts w:eastAsia="Calibri" w:cstheme="minorHAnsi"/>
          <w:i/>
          <w:iCs/>
          <w:sz w:val="20"/>
          <w:szCs w:val="20"/>
          <w:lang w:val="en-GB"/>
        </w:rPr>
        <w:t>VTT Information Technology, Research Report</w:t>
      </w:r>
      <w:r w:rsidRPr="006F1A47">
        <w:rPr>
          <w:rFonts w:eastAsia="Calibri" w:cstheme="minorHAnsi"/>
          <w:iCs/>
          <w:sz w:val="20"/>
          <w:szCs w:val="20"/>
          <w:lang w:val="en-GB"/>
        </w:rPr>
        <w:t xml:space="preserve">. </w:t>
      </w:r>
      <w:r w:rsidRPr="00E01C93">
        <w:rPr>
          <w:rFonts w:eastAsia="Calibri" w:cstheme="minorHAnsi"/>
          <w:iCs/>
          <w:sz w:val="20"/>
          <w:szCs w:val="20"/>
        </w:rPr>
        <w:t>Ανακτήθηκε</w:t>
      </w:r>
      <w:r w:rsidRPr="00E01C93">
        <w:rPr>
          <w:rFonts w:eastAsia="Calibri" w:cstheme="minorHAnsi"/>
          <w:iCs/>
          <w:sz w:val="20"/>
          <w:szCs w:val="20"/>
          <w:lang w:val="en-US"/>
        </w:rPr>
        <w:t xml:space="preserve"> 16 </w:t>
      </w:r>
      <w:r w:rsidRPr="00E01C93">
        <w:rPr>
          <w:rFonts w:eastAsia="Calibri" w:cstheme="minorHAnsi"/>
          <w:iCs/>
          <w:sz w:val="20"/>
          <w:szCs w:val="20"/>
        </w:rPr>
        <w:t>Ιουνίου</w:t>
      </w:r>
      <w:r w:rsidRPr="00E01C93">
        <w:rPr>
          <w:rFonts w:eastAsia="Calibri" w:cstheme="minorHAnsi"/>
          <w:iCs/>
          <w:sz w:val="20"/>
          <w:szCs w:val="20"/>
          <w:lang w:val="en-US"/>
        </w:rPr>
        <w:t xml:space="preserve"> 2016 </w:t>
      </w:r>
      <w:r w:rsidRPr="00E01C93">
        <w:rPr>
          <w:rFonts w:eastAsia="Calibri" w:cstheme="minorHAnsi"/>
          <w:iCs/>
          <w:sz w:val="20"/>
          <w:szCs w:val="20"/>
        </w:rPr>
        <w:t>από</w:t>
      </w:r>
      <w:r w:rsidRPr="00E01C93">
        <w:rPr>
          <w:rFonts w:eastAsia="Calibri" w:cstheme="minorHAnsi"/>
          <w:iCs/>
          <w:sz w:val="20"/>
          <w:szCs w:val="20"/>
          <w:lang w:val="en-US"/>
        </w:rPr>
        <w:t xml:space="preserve">: </w:t>
      </w:r>
      <w:hyperlink r:id="rId20" w:history="1">
        <w:r w:rsidRPr="006F1A47">
          <w:rPr>
            <w:rFonts w:eastAsia="Calibri" w:cstheme="minorHAnsi"/>
            <w:color w:val="0563C1"/>
            <w:sz w:val="20"/>
            <w:szCs w:val="20"/>
            <w:u w:val="single"/>
            <w:lang w:val="en-GB"/>
          </w:rPr>
          <w:t>http://www.vtt.fi/inf/julkaisut/muut/2004/crossmedia_entertainment.pdf</w:t>
        </w:r>
      </w:hyperlink>
      <w:r w:rsidRPr="00E01C93">
        <w:rPr>
          <w:rFonts w:eastAsia="Calibri" w:cstheme="minorHAnsi"/>
          <w:iCs/>
          <w:sz w:val="20"/>
          <w:szCs w:val="20"/>
          <w:lang w:val="en-US"/>
        </w:rPr>
        <w:t>.</w:t>
      </w:r>
    </w:p>
    <w:p w14:paraId="721B035A" w14:textId="77777777" w:rsidR="006F1A47" w:rsidRPr="00E01C93" w:rsidRDefault="006F1A47" w:rsidP="00D75845">
      <w:pPr>
        <w:jc w:val="both"/>
        <w:rPr>
          <w:rFonts w:eastAsia="Calibri" w:cstheme="minorHAnsi"/>
          <w:iCs/>
          <w:sz w:val="20"/>
          <w:szCs w:val="20"/>
        </w:rPr>
      </w:pPr>
      <w:r w:rsidRPr="006F1A47">
        <w:rPr>
          <w:rFonts w:eastAsia="Calibri" w:cstheme="minorHAnsi"/>
          <w:iCs/>
          <w:sz w:val="20"/>
          <w:szCs w:val="20"/>
          <w:lang w:val="en-GB"/>
        </w:rPr>
        <w:t xml:space="preserve">Hayes, G. (2012). </w:t>
      </w:r>
      <w:r w:rsidRPr="006F1A47">
        <w:rPr>
          <w:rFonts w:eastAsia="Calibri" w:cstheme="minorHAnsi"/>
          <w:i/>
          <w:iCs/>
          <w:sz w:val="20"/>
          <w:szCs w:val="20"/>
          <w:lang w:val="en-GB"/>
        </w:rPr>
        <w:t>Social Media Charts &amp; Graphs</w:t>
      </w:r>
      <w:r w:rsidRPr="006F1A47">
        <w:rPr>
          <w:rFonts w:eastAsia="Calibri" w:cstheme="minorHAnsi"/>
          <w:iCs/>
          <w:sz w:val="20"/>
          <w:szCs w:val="20"/>
          <w:lang w:val="en-GB"/>
        </w:rPr>
        <w:t xml:space="preserve">. </w:t>
      </w:r>
      <w:r w:rsidRPr="00E01C93">
        <w:rPr>
          <w:rFonts w:eastAsia="Calibri" w:cstheme="minorHAnsi"/>
          <w:iCs/>
          <w:sz w:val="20"/>
          <w:szCs w:val="20"/>
        </w:rPr>
        <w:t xml:space="preserve">Ανακτήθηκε 29 Αυγούστου 2016 από: </w:t>
      </w:r>
      <w:hyperlink r:id="rId21" w:history="1">
        <w:r w:rsidRPr="00E01C93">
          <w:rPr>
            <w:rFonts w:eastAsia="Calibri" w:cstheme="minorHAnsi"/>
            <w:color w:val="0563C1"/>
            <w:sz w:val="20"/>
            <w:szCs w:val="20"/>
            <w:u w:val="single"/>
          </w:rPr>
          <w:t>https://www.flickr.com/groups/participatecreate/pool/tags/crossmedia/</w:t>
        </w:r>
      </w:hyperlink>
      <w:r w:rsidRPr="00E01C93">
        <w:rPr>
          <w:rFonts w:eastAsia="Calibri" w:cstheme="minorHAnsi"/>
          <w:iCs/>
          <w:sz w:val="20"/>
          <w:szCs w:val="20"/>
        </w:rPr>
        <w:t xml:space="preserve">. </w:t>
      </w:r>
    </w:p>
    <w:p w14:paraId="115C8C7C"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Herman, D. (2009). </w:t>
      </w:r>
      <w:r w:rsidRPr="006F1A47">
        <w:rPr>
          <w:rFonts w:eastAsia="Calibri" w:cstheme="minorHAnsi"/>
          <w:i/>
          <w:iCs/>
          <w:sz w:val="20"/>
          <w:szCs w:val="20"/>
          <w:lang w:val="en-GB"/>
        </w:rPr>
        <w:t>Basic Elements of Narrative</w:t>
      </w:r>
      <w:r w:rsidRPr="006F1A47">
        <w:rPr>
          <w:rFonts w:eastAsia="Calibri" w:cstheme="minorHAnsi"/>
          <w:iCs/>
          <w:sz w:val="20"/>
          <w:szCs w:val="20"/>
          <w:lang w:val="en-GB"/>
        </w:rPr>
        <w:t>. Malden, MA: Wiley-Blackwell.</w:t>
      </w:r>
    </w:p>
    <w:p w14:paraId="26861D08" w14:textId="77777777" w:rsidR="006F1A47" w:rsidRPr="00E01C93" w:rsidRDefault="006F1A47" w:rsidP="00D75845">
      <w:pPr>
        <w:jc w:val="both"/>
        <w:rPr>
          <w:rFonts w:eastAsia="Calibri" w:cstheme="minorHAnsi"/>
          <w:iCs/>
          <w:sz w:val="20"/>
          <w:szCs w:val="20"/>
        </w:rPr>
      </w:pPr>
      <w:r w:rsidRPr="006F1A47">
        <w:rPr>
          <w:rFonts w:eastAsia="Calibri" w:cstheme="minorHAnsi"/>
          <w:iCs/>
          <w:sz w:val="20"/>
          <w:szCs w:val="20"/>
          <w:lang w:val="en-GB"/>
        </w:rPr>
        <w:t xml:space="preserve">Hodgins, J. (2001). </w:t>
      </w:r>
      <w:r w:rsidRPr="006F1A47">
        <w:rPr>
          <w:rFonts w:eastAsia="Calibri" w:cstheme="minorHAnsi"/>
          <w:i/>
          <w:iCs/>
          <w:sz w:val="20"/>
          <w:szCs w:val="20"/>
          <w:lang w:val="en-GB"/>
        </w:rPr>
        <w:t>A Passion for Narrative: A Guide for Writing Fiction</w:t>
      </w:r>
      <w:r w:rsidRPr="006F1A47">
        <w:rPr>
          <w:rFonts w:eastAsia="Calibri" w:cstheme="minorHAnsi"/>
          <w:iCs/>
          <w:sz w:val="20"/>
          <w:szCs w:val="20"/>
          <w:lang w:val="en-GB"/>
        </w:rPr>
        <w:t xml:space="preserve">. </w:t>
      </w:r>
      <w:r w:rsidRPr="00E01C93">
        <w:rPr>
          <w:rFonts w:eastAsia="Calibri" w:cstheme="minorHAnsi"/>
          <w:iCs/>
          <w:sz w:val="20"/>
          <w:szCs w:val="20"/>
        </w:rPr>
        <w:t>Toronto: McClelland &amp; Stewart.</w:t>
      </w:r>
    </w:p>
    <w:p w14:paraId="0214874A" w14:textId="77777777" w:rsidR="006F1A47" w:rsidRPr="006F1A47" w:rsidRDefault="006F1A47" w:rsidP="00D75845">
      <w:pPr>
        <w:jc w:val="both"/>
        <w:rPr>
          <w:rFonts w:eastAsia="Calibri" w:cstheme="minorHAnsi"/>
          <w:iCs/>
          <w:sz w:val="20"/>
          <w:szCs w:val="20"/>
          <w:lang w:val="en-GB"/>
        </w:rPr>
      </w:pPr>
      <w:r w:rsidRPr="00E01C93">
        <w:rPr>
          <w:rFonts w:eastAsia="Calibri" w:cstheme="minorHAnsi"/>
          <w:iCs/>
          <w:sz w:val="20"/>
          <w:szCs w:val="20"/>
        </w:rPr>
        <w:t xml:space="preserve">Kallas-Καλογεροπούλου, Χ. (2006). </w:t>
      </w:r>
      <w:r w:rsidRPr="00E01C93">
        <w:rPr>
          <w:rFonts w:eastAsia="Calibri" w:cstheme="minorHAnsi"/>
          <w:i/>
          <w:iCs/>
          <w:sz w:val="20"/>
          <w:szCs w:val="20"/>
        </w:rPr>
        <w:t>Η τέχνη της επινόησης και της αφήγησης στον κινηματογράφο, 66 ασκήσεις και 1 μέθοδος</w:t>
      </w:r>
      <w:r w:rsidRPr="00E01C93">
        <w:rPr>
          <w:rFonts w:eastAsia="Calibri" w:cstheme="minorHAnsi"/>
          <w:iCs/>
          <w:sz w:val="20"/>
          <w:szCs w:val="20"/>
        </w:rPr>
        <w:t>. Αθήνα</w:t>
      </w:r>
      <w:r w:rsidRPr="006F1A47">
        <w:rPr>
          <w:rFonts w:eastAsia="Calibri" w:cstheme="minorHAnsi"/>
          <w:iCs/>
          <w:sz w:val="20"/>
          <w:szCs w:val="20"/>
          <w:lang w:val="en-GB"/>
        </w:rPr>
        <w:t xml:space="preserve">: </w:t>
      </w:r>
      <w:r w:rsidRPr="00E01C93">
        <w:rPr>
          <w:rFonts w:eastAsia="Calibri" w:cstheme="minorHAnsi"/>
          <w:iCs/>
          <w:sz w:val="20"/>
          <w:szCs w:val="20"/>
        </w:rPr>
        <w:t>Εκδόσεις</w:t>
      </w:r>
      <w:r w:rsidRPr="006F1A47">
        <w:rPr>
          <w:rFonts w:eastAsia="Calibri" w:cstheme="minorHAnsi"/>
          <w:iCs/>
          <w:sz w:val="20"/>
          <w:szCs w:val="20"/>
          <w:lang w:val="en-GB"/>
        </w:rPr>
        <w:t xml:space="preserve"> </w:t>
      </w:r>
      <w:r w:rsidRPr="00E01C93">
        <w:rPr>
          <w:rFonts w:eastAsia="Calibri" w:cstheme="minorHAnsi"/>
          <w:iCs/>
          <w:sz w:val="20"/>
          <w:szCs w:val="20"/>
        </w:rPr>
        <w:t>Νεφέλη</w:t>
      </w:r>
      <w:r w:rsidRPr="006F1A47">
        <w:rPr>
          <w:rFonts w:eastAsia="Calibri" w:cstheme="minorHAnsi"/>
          <w:iCs/>
          <w:sz w:val="20"/>
          <w:szCs w:val="20"/>
          <w:lang w:val="en-GB"/>
        </w:rPr>
        <w:t>.</w:t>
      </w:r>
    </w:p>
    <w:p w14:paraId="6896CB04" w14:textId="77777777" w:rsidR="006F1A47" w:rsidRPr="00E01C93" w:rsidRDefault="006F1A47" w:rsidP="00D75845">
      <w:pPr>
        <w:jc w:val="both"/>
        <w:rPr>
          <w:rFonts w:eastAsia="Calibri" w:cstheme="minorHAnsi"/>
          <w:sz w:val="20"/>
          <w:szCs w:val="20"/>
          <w:lang w:val="en-US"/>
        </w:rPr>
      </w:pPr>
      <w:r w:rsidRPr="00E01C93">
        <w:rPr>
          <w:rFonts w:eastAsia="Calibri" w:cstheme="minorHAnsi"/>
          <w:sz w:val="20"/>
          <w:szCs w:val="20"/>
          <w:lang w:val="en-US"/>
        </w:rPr>
        <w:t xml:space="preserve">Kinder, M. (1991). </w:t>
      </w:r>
      <w:r w:rsidRPr="00E01C93">
        <w:rPr>
          <w:rFonts w:eastAsia="Calibri" w:cstheme="minorHAnsi"/>
          <w:bCs/>
          <w:i/>
          <w:iCs/>
          <w:sz w:val="20"/>
          <w:szCs w:val="20"/>
          <w:lang w:val="en-US"/>
        </w:rPr>
        <w:t>Playing with Power in Movies, Television and Video Games: From</w:t>
      </w:r>
      <w:r w:rsidRPr="00E01C93">
        <w:rPr>
          <w:rFonts w:eastAsia="Calibri" w:cstheme="minorHAnsi"/>
          <w:i/>
          <w:sz w:val="20"/>
          <w:szCs w:val="20"/>
          <w:lang w:val="en-US"/>
        </w:rPr>
        <w:br/>
      </w:r>
      <w:r w:rsidRPr="00E01C93">
        <w:rPr>
          <w:rFonts w:eastAsia="Calibri" w:cstheme="minorHAnsi"/>
          <w:bCs/>
          <w:i/>
          <w:iCs/>
          <w:sz w:val="20"/>
          <w:szCs w:val="20"/>
          <w:lang w:val="en-US"/>
        </w:rPr>
        <w:t>Muppet Babies to Teenage Mutant Ninja Turtles</w:t>
      </w:r>
      <w:r w:rsidRPr="00E01C93">
        <w:rPr>
          <w:rFonts w:eastAsia="Calibri" w:cstheme="minorHAnsi"/>
          <w:bCs/>
          <w:iCs/>
          <w:sz w:val="20"/>
          <w:szCs w:val="20"/>
          <w:lang w:val="en-US"/>
        </w:rPr>
        <w:t xml:space="preserve">. </w:t>
      </w:r>
      <w:r w:rsidRPr="00E01C93">
        <w:rPr>
          <w:rFonts w:eastAsia="Calibri" w:cstheme="minorHAnsi"/>
          <w:sz w:val="20"/>
          <w:szCs w:val="20"/>
          <w:lang w:val="en-US"/>
        </w:rPr>
        <w:t>Berkeley: University of California</w:t>
      </w:r>
      <w:r w:rsidRPr="00E01C93">
        <w:rPr>
          <w:rFonts w:eastAsia="Calibri" w:cstheme="minorHAnsi"/>
          <w:sz w:val="20"/>
          <w:szCs w:val="20"/>
          <w:lang w:val="en-US"/>
        </w:rPr>
        <w:br/>
        <w:t>Press.</w:t>
      </w:r>
    </w:p>
    <w:p w14:paraId="7BF74DF1" w14:textId="77777777" w:rsidR="006F1A47" w:rsidRPr="00E01C93" w:rsidRDefault="006F1A47" w:rsidP="00D75845">
      <w:pPr>
        <w:jc w:val="both"/>
        <w:rPr>
          <w:rFonts w:eastAsia="Calibri" w:cstheme="minorHAnsi"/>
          <w:sz w:val="20"/>
          <w:szCs w:val="20"/>
          <w:lang w:val="en-US"/>
        </w:rPr>
      </w:pPr>
      <w:r w:rsidRPr="00E01C93">
        <w:rPr>
          <w:rFonts w:eastAsia="Calibri" w:cstheme="minorHAnsi"/>
          <w:sz w:val="20"/>
          <w:szCs w:val="20"/>
          <w:lang w:val="en-US"/>
        </w:rPr>
        <w:t xml:space="preserve">Levy, P. (1997). </w:t>
      </w:r>
      <w:r w:rsidRPr="00E01C93">
        <w:rPr>
          <w:rFonts w:eastAsia="Calibri" w:cstheme="minorHAnsi"/>
          <w:bCs/>
          <w:i/>
          <w:iCs/>
          <w:sz w:val="20"/>
          <w:szCs w:val="20"/>
          <w:lang w:val="en-US"/>
        </w:rPr>
        <w:t>Collective Intelligence: Mankind's Emerging World in Cyberspace</w:t>
      </w:r>
      <w:r w:rsidRPr="00E01C93">
        <w:rPr>
          <w:rFonts w:eastAsia="Calibri" w:cstheme="minorHAnsi"/>
          <w:sz w:val="20"/>
          <w:szCs w:val="20"/>
          <w:lang w:val="en-US"/>
        </w:rPr>
        <w:t>. Cambridge. Mass.: Perseus Books.</w:t>
      </w:r>
    </w:p>
    <w:p w14:paraId="59760033"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Long, G. A. (2007). </w:t>
      </w:r>
      <w:r w:rsidRPr="006F1A47">
        <w:rPr>
          <w:rFonts w:eastAsia="Calibri" w:cstheme="minorHAnsi"/>
          <w:i/>
          <w:iCs/>
          <w:sz w:val="20"/>
          <w:szCs w:val="20"/>
          <w:lang w:val="en-GB"/>
        </w:rPr>
        <w:t>Transmedia Storytelling– Business, Aesthetics and Production at the Jim Henson Company</w:t>
      </w:r>
      <w:r w:rsidRPr="006F1A47">
        <w:rPr>
          <w:rFonts w:eastAsia="Calibri" w:cstheme="minorHAnsi"/>
          <w:iCs/>
          <w:sz w:val="20"/>
          <w:szCs w:val="20"/>
          <w:lang w:val="en-GB"/>
        </w:rPr>
        <w:t>. (Master of Science dissertation, Massachusetts Institute of Technology).</w:t>
      </w:r>
    </w:p>
    <w:p w14:paraId="1EF282DD"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Mackay, D. (2001). </w:t>
      </w:r>
      <w:r w:rsidRPr="006F1A47">
        <w:rPr>
          <w:rFonts w:eastAsia="Calibri" w:cstheme="minorHAnsi"/>
          <w:i/>
          <w:iCs/>
          <w:sz w:val="20"/>
          <w:szCs w:val="20"/>
          <w:lang w:val="en-GB"/>
        </w:rPr>
        <w:t>The Fantasy Role-Playing Game</w:t>
      </w:r>
      <w:r w:rsidRPr="006F1A47">
        <w:rPr>
          <w:rFonts w:eastAsia="Calibri" w:cstheme="minorHAnsi"/>
          <w:iCs/>
          <w:sz w:val="20"/>
          <w:szCs w:val="20"/>
          <w:lang w:val="en-GB"/>
        </w:rPr>
        <w:t>. Jefferson: McFarland.</w:t>
      </w:r>
    </w:p>
    <w:p w14:paraId="5893260F"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lastRenderedPageBreak/>
        <w:t xml:space="preserve">McIntosh, B., Cohn, R., &amp; Grace, L. (2010, August 17). </w:t>
      </w:r>
      <w:r w:rsidRPr="006F1A47">
        <w:rPr>
          <w:rFonts w:eastAsia="Calibri" w:cstheme="minorHAnsi"/>
          <w:i/>
          <w:iCs/>
          <w:sz w:val="20"/>
          <w:szCs w:val="20"/>
          <w:lang w:val="en-GB"/>
        </w:rPr>
        <w:t>Nonlinear Narrative in Games: Theory and Practice</w:t>
      </w:r>
      <w:r w:rsidRPr="006F1A47">
        <w:rPr>
          <w:rFonts w:eastAsia="Calibri" w:cstheme="minorHAnsi"/>
          <w:iCs/>
          <w:sz w:val="20"/>
          <w:szCs w:val="20"/>
          <w:lang w:val="en-GB"/>
        </w:rPr>
        <w:t>. Game Career Guide.</w:t>
      </w:r>
    </w:p>
    <w:p w14:paraId="2027FC1F"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McKee, R. (1997). </w:t>
      </w:r>
      <w:r w:rsidRPr="006F1A47">
        <w:rPr>
          <w:rFonts w:eastAsia="Calibri" w:cstheme="minorHAnsi"/>
          <w:i/>
          <w:iCs/>
          <w:sz w:val="20"/>
          <w:szCs w:val="20"/>
          <w:lang w:val="en-GB"/>
        </w:rPr>
        <w:t>Story: Substance, Structure, Style, and the Principles of Screenwriting</w:t>
      </w:r>
      <w:r w:rsidRPr="006F1A47">
        <w:rPr>
          <w:rFonts w:eastAsia="Calibri" w:cstheme="minorHAnsi"/>
          <w:iCs/>
          <w:sz w:val="20"/>
          <w:szCs w:val="20"/>
          <w:lang w:val="en-GB"/>
        </w:rPr>
        <w:t xml:space="preserve">. New York, NY: </w:t>
      </w:r>
      <w:proofErr w:type="spellStart"/>
      <w:r w:rsidRPr="006F1A47">
        <w:rPr>
          <w:rFonts w:eastAsia="Calibri" w:cstheme="minorHAnsi"/>
          <w:iCs/>
          <w:sz w:val="20"/>
          <w:szCs w:val="20"/>
          <w:lang w:val="en-GB"/>
        </w:rPr>
        <w:t>ReganBooks</w:t>
      </w:r>
      <w:proofErr w:type="spellEnd"/>
      <w:r w:rsidRPr="00E01C93">
        <w:rPr>
          <w:rFonts w:eastAsia="Calibri" w:cstheme="minorHAnsi"/>
          <w:iCs/>
          <w:sz w:val="20"/>
          <w:szCs w:val="20"/>
          <w:lang w:val="en-US"/>
        </w:rPr>
        <w:t>.</w:t>
      </w:r>
    </w:p>
    <w:p w14:paraId="38FFEF9A" w14:textId="77777777" w:rsidR="006F1A47" w:rsidRPr="00E01C93" w:rsidRDefault="006F1A47" w:rsidP="00D75845">
      <w:pPr>
        <w:jc w:val="both"/>
        <w:rPr>
          <w:rFonts w:eastAsia="Calibri" w:cstheme="minorHAnsi"/>
          <w:sz w:val="20"/>
          <w:szCs w:val="20"/>
          <w:lang w:val="en-US"/>
        </w:rPr>
      </w:pPr>
      <w:r w:rsidRPr="00E01C93">
        <w:rPr>
          <w:rFonts w:eastAsia="Calibri" w:cstheme="minorHAnsi"/>
          <w:sz w:val="20"/>
          <w:szCs w:val="20"/>
          <w:lang w:val="en-US"/>
        </w:rPr>
        <w:t xml:space="preserve">Murray, J. (1998). </w:t>
      </w:r>
      <w:r w:rsidRPr="00E01C93">
        <w:rPr>
          <w:rFonts w:eastAsia="Calibri" w:cstheme="minorHAnsi"/>
          <w:i/>
          <w:iCs/>
          <w:sz w:val="20"/>
          <w:szCs w:val="20"/>
          <w:lang w:val="en-US"/>
        </w:rPr>
        <w:t>Hamlet on the Holodeck: The Future of Narrative in Cyberspace</w:t>
      </w:r>
      <w:r w:rsidRPr="00E01C93">
        <w:rPr>
          <w:rFonts w:eastAsia="Calibri" w:cstheme="minorHAnsi"/>
          <w:iCs/>
          <w:sz w:val="20"/>
          <w:szCs w:val="20"/>
          <w:lang w:val="en-US"/>
        </w:rPr>
        <w:t>.</w:t>
      </w:r>
      <w:r w:rsidRPr="00E01C93">
        <w:rPr>
          <w:rFonts w:eastAsia="Calibri" w:cstheme="minorHAnsi"/>
          <w:sz w:val="20"/>
          <w:szCs w:val="20"/>
          <w:lang w:val="en-US"/>
        </w:rPr>
        <w:t xml:space="preserve"> Cambridge: MIT Press.</w:t>
      </w:r>
    </w:p>
    <w:p w14:paraId="4D97C594" w14:textId="77777777" w:rsidR="006F1A47" w:rsidRPr="00E01C93" w:rsidRDefault="006F1A47" w:rsidP="00D75845">
      <w:pPr>
        <w:jc w:val="both"/>
        <w:rPr>
          <w:rFonts w:eastAsia="Calibri" w:cstheme="minorHAnsi"/>
          <w:iCs/>
          <w:sz w:val="20"/>
          <w:szCs w:val="20"/>
          <w:lang w:val="en-US"/>
        </w:rPr>
      </w:pPr>
      <w:r w:rsidRPr="006F1A47">
        <w:rPr>
          <w:rFonts w:eastAsia="Calibri" w:cstheme="minorHAnsi"/>
          <w:iCs/>
          <w:sz w:val="20"/>
          <w:szCs w:val="20"/>
          <w:lang w:val="en-GB"/>
        </w:rPr>
        <w:t xml:space="preserve">Petersen, A. B. (2008). </w:t>
      </w:r>
      <w:r w:rsidRPr="006F1A47">
        <w:rPr>
          <w:rFonts w:eastAsia="Calibri" w:cstheme="minorHAnsi"/>
          <w:i/>
          <w:iCs/>
          <w:sz w:val="20"/>
          <w:szCs w:val="20"/>
          <w:lang w:val="en-GB"/>
        </w:rPr>
        <w:t>Cross Media as Innovation Strategy: Digital Media Challenges in the Danish Broadcasting Corporation</w:t>
      </w:r>
      <w:r w:rsidRPr="006F1A47">
        <w:rPr>
          <w:rFonts w:eastAsia="Calibri" w:cstheme="minorHAnsi"/>
          <w:iCs/>
          <w:sz w:val="20"/>
          <w:szCs w:val="20"/>
          <w:lang w:val="en-GB"/>
        </w:rPr>
        <w:t xml:space="preserve">. </w:t>
      </w:r>
    </w:p>
    <w:p w14:paraId="5283A86A" w14:textId="77777777" w:rsidR="006F1A47" w:rsidRPr="00E01C93" w:rsidRDefault="006F1A47" w:rsidP="00D75845">
      <w:pPr>
        <w:jc w:val="both"/>
        <w:rPr>
          <w:rFonts w:eastAsia="Calibri" w:cstheme="minorHAnsi"/>
          <w:iCs/>
          <w:sz w:val="20"/>
          <w:szCs w:val="20"/>
        </w:rPr>
      </w:pPr>
      <w:r w:rsidRPr="006F1A47">
        <w:rPr>
          <w:rFonts w:eastAsia="Calibri" w:cstheme="minorHAnsi"/>
          <w:iCs/>
          <w:sz w:val="20"/>
          <w:szCs w:val="20"/>
          <w:lang w:val="en-GB"/>
        </w:rPr>
        <w:t xml:space="preserve">PGA New Media Council. (2007). </w:t>
      </w:r>
      <w:r w:rsidRPr="006F1A47">
        <w:rPr>
          <w:rFonts w:eastAsia="Calibri" w:cstheme="minorHAnsi"/>
          <w:i/>
          <w:iCs/>
          <w:sz w:val="20"/>
          <w:szCs w:val="20"/>
          <w:lang w:val="en-GB"/>
        </w:rPr>
        <w:t>The 8 Defining Characteristics of a Trans-media Production</w:t>
      </w:r>
      <w:r w:rsidRPr="006F1A47">
        <w:rPr>
          <w:rFonts w:eastAsia="Calibri" w:cstheme="minorHAnsi"/>
          <w:iCs/>
          <w:sz w:val="20"/>
          <w:szCs w:val="20"/>
          <w:lang w:val="en-GB"/>
        </w:rPr>
        <w:t xml:space="preserve"> (by Jeff Gomez). </w:t>
      </w:r>
      <w:r w:rsidRPr="00E01C93">
        <w:rPr>
          <w:rFonts w:eastAsia="Calibri" w:cstheme="minorHAnsi"/>
          <w:iCs/>
          <w:sz w:val="20"/>
          <w:szCs w:val="20"/>
        </w:rPr>
        <w:t xml:space="preserve">Ανακτήθηκε 10 Ιουνίου 2016 από: </w:t>
      </w:r>
      <w:hyperlink r:id="rId22" w:history="1">
        <w:r w:rsidRPr="00E01C93">
          <w:rPr>
            <w:rFonts w:eastAsia="Calibri" w:cstheme="minorHAnsi"/>
            <w:color w:val="0563C1"/>
            <w:sz w:val="20"/>
            <w:szCs w:val="20"/>
            <w:u w:val="single"/>
          </w:rPr>
          <w:t>http://pganmc.blogspot.gr/2007/10/pga-member-jeff-gomez-left-assembled.html</w:t>
        </w:r>
      </w:hyperlink>
      <w:r w:rsidRPr="00E01C93">
        <w:rPr>
          <w:rFonts w:eastAsia="Calibri" w:cstheme="minorHAnsi"/>
          <w:sz w:val="20"/>
          <w:szCs w:val="20"/>
          <w:u w:val="single"/>
        </w:rPr>
        <w:t xml:space="preserve"> </w:t>
      </w:r>
      <w:r w:rsidRPr="00E01C93">
        <w:rPr>
          <w:rFonts w:eastAsia="Calibri" w:cstheme="minorHAnsi"/>
          <w:sz w:val="20"/>
          <w:szCs w:val="20"/>
        </w:rPr>
        <w:t>.</w:t>
      </w:r>
      <w:r w:rsidRPr="00E01C93">
        <w:rPr>
          <w:rFonts w:eastAsia="Calibri" w:cstheme="minorHAnsi"/>
          <w:iCs/>
          <w:sz w:val="20"/>
          <w:szCs w:val="20"/>
        </w:rPr>
        <w:t xml:space="preserve"> </w:t>
      </w:r>
    </w:p>
    <w:p w14:paraId="1FE0C8B2"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Phillips, A. (2012). </w:t>
      </w:r>
      <w:r w:rsidRPr="006F1A47">
        <w:rPr>
          <w:rFonts w:eastAsia="Calibri" w:cstheme="minorHAnsi"/>
          <w:i/>
          <w:iCs/>
          <w:sz w:val="20"/>
          <w:szCs w:val="20"/>
          <w:lang w:val="en-GB"/>
        </w:rPr>
        <w:t>A Creator’s Guide to Transmedia Storytelling: How to Captivate and Engage Audiences across Multiple Platforms</w:t>
      </w:r>
      <w:r w:rsidRPr="006F1A47">
        <w:rPr>
          <w:rFonts w:eastAsia="Calibri" w:cstheme="minorHAnsi"/>
          <w:iCs/>
          <w:sz w:val="20"/>
          <w:szCs w:val="20"/>
          <w:lang w:val="en-GB"/>
        </w:rPr>
        <w:t>. New York: McGraw-Hill.</w:t>
      </w:r>
    </w:p>
    <w:p w14:paraId="0D801482" w14:textId="77777777" w:rsidR="006F1A47" w:rsidRPr="00E01C93" w:rsidRDefault="006F1A47" w:rsidP="00D75845">
      <w:pPr>
        <w:jc w:val="both"/>
        <w:rPr>
          <w:rFonts w:eastAsia="Calibri" w:cstheme="minorHAnsi"/>
          <w:sz w:val="20"/>
          <w:szCs w:val="20"/>
          <w:lang w:val="en-US"/>
        </w:rPr>
      </w:pPr>
      <w:r w:rsidRPr="00E01C93">
        <w:rPr>
          <w:rFonts w:eastAsia="Calibri" w:cstheme="minorHAnsi"/>
          <w:sz w:val="20"/>
          <w:szCs w:val="20"/>
          <w:lang w:val="en-US"/>
        </w:rPr>
        <w:t xml:space="preserve">Pool, </w:t>
      </w:r>
      <w:proofErr w:type="spellStart"/>
      <w:r w:rsidRPr="00E01C93">
        <w:rPr>
          <w:rFonts w:eastAsia="Calibri" w:cstheme="minorHAnsi"/>
          <w:sz w:val="20"/>
          <w:szCs w:val="20"/>
          <w:lang w:val="en-US"/>
        </w:rPr>
        <w:t>Ithiel</w:t>
      </w:r>
      <w:proofErr w:type="spellEnd"/>
      <w:r w:rsidRPr="00E01C93">
        <w:rPr>
          <w:rFonts w:eastAsia="Calibri" w:cstheme="minorHAnsi"/>
          <w:sz w:val="20"/>
          <w:szCs w:val="20"/>
          <w:lang w:val="en-US"/>
        </w:rPr>
        <w:t xml:space="preserve"> de Sola. (1983). </w:t>
      </w:r>
      <w:r w:rsidRPr="00E01C93">
        <w:rPr>
          <w:rFonts w:eastAsia="Calibri" w:cstheme="minorHAnsi"/>
          <w:bCs/>
          <w:i/>
          <w:iCs/>
          <w:sz w:val="20"/>
          <w:szCs w:val="20"/>
          <w:lang w:val="en-US"/>
        </w:rPr>
        <w:t>Technologies of Freedom: On Free Speech in an Electronic Age</w:t>
      </w:r>
      <w:r w:rsidRPr="00E01C93">
        <w:rPr>
          <w:rFonts w:eastAsia="Calibri" w:cstheme="minorHAnsi"/>
          <w:bCs/>
          <w:iCs/>
          <w:sz w:val="20"/>
          <w:szCs w:val="20"/>
          <w:lang w:val="en-US"/>
        </w:rPr>
        <w:t xml:space="preserve">. </w:t>
      </w:r>
      <w:r w:rsidRPr="00E01C93">
        <w:rPr>
          <w:rFonts w:eastAsia="Calibri" w:cstheme="minorHAnsi"/>
          <w:sz w:val="20"/>
          <w:szCs w:val="20"/>
          <w:lang w:val="en-US"/>
        </w:rPr>
        <w:t>Cambridge, Mass.: Harvard University Press.</w:t>
      </w:r>
    </w:p>
    <w:p w14:paraId="059F696A" w14:textId="77777777" w:rsidR="006F1A47" w:rsidRPr="006F1A47" w:rsidRDefault="006F1A47" w:rsidP="00D75845">
      <w:pPr>
        <w:jc w:val="both"/>
        <w:rPr>
          <w:rFonts w:eastAsia="Calibri" w:cstheme="minorHAnsi"/>
          <w:iCs/>
          <w:sz w:val="20"/>
          <w:szCs w:val="20"/>
          <w:lang w:val="en-GB"/>
        </w:rPr>
      </w:pPr>
      <w:proofErr w:type="spellStart"/>
      <w:r w:rsidRPr="006F1A47">
        <w:rPr>
          <w:rFonts w:eastAsia="Calibri" w:cstheme="minorHAnsi"/>
          <w:iCs/>
          <w:sz w:val="20"/>
          <w:szCs w:val="20"/>
          <w:lang w:val="en-GB"/>
        </w:rPr>
        <w:t>Pratten</w:t>
      </w:r>
      <w:proofErr w:type="spellEnd"/>
      <w:r w:rsidRPr="006F1A47">
        <w:rPr>
          <w:rFonts w:eastAsia="Calibri" w:cstheme="minorHAnsi"/>
          <w:iCs/>
          <w:sz w:val="20"/>
          <w:szCs w:val="20"/>
          <w:lang w:val="en-GB"/>
        </w:rPr>
        <w:t xml:space="preserve">, R. </w:t>
      </w:r>
      <w:r w:rsidRPr="00E01C93">
        <w:rPr>
          <w:rFonts w:eastAsia="Calibri" w:cstheme="minorHAnsi"/>
          <w:iCs/>
          <w:sz w:val="20"/>
          <w:szCs w:val="20"/>
          <w:lang w:val="en-US"/>
        </w:rPr>
        <w:t>(</w:t>
      </w:r>
      <w:r w:rsidRPr="006F1A47">
        <w:rPr>
          <w:rFonts w:eastAsia="Calibri" w:cstheme="minorHAnsi"/>
          <w:iCs/>
          <w:sz w:val="20"/>
          <w:szCs w:val="20"/>
          <w:lang w:val="en-GB"/>
        </w:rPr>
        <w:t>2011</w:t>
      </w:r>
      <w:r w:rsidRPr="00E01C93">
        <w:rPr>
          <w:rFonts w:eastAsia="Calibri" w:cstheme="minorHAnsi"/>
          <w:iCs/>
          <w:sz w:val="20"/>
          <w:szCs w:val="20"/>
          <w:lang w:val="en-US"/>
        </w:rPr>
        <w:t>)</w:t>
      </w:r>
      <w:r w:rsidRPr="006F1A47">
        <w:rPr>
          <w:rFonts w:eastAsia="Calibri" w:cstheme="minorHAnsi"/>
          <w:iCs/>
          <w:sz w:val="20"/>
          <w:szCs w:val="20"/>
          <w:lang w:val="en-GB"/>
        </w:rPr>
        <w:t xml:space="preserve">. </w:t>
      </w:r>
      <w:r w:rsidRPr="006F1A47">
        <w:rPr>
          <w:rFonts w:eastAsia="Calibri" w:cstheme="minorHAnsi"/>
          <w:i/>
          <w:iCs/>
          <w:sz w:val="20"/>
          <w:szCs w:val="20"/>
          <w:lang w:val="en-GB"/>
        </w:rPr>
        <w:t>Getting Started in Transmedia Storytelling: A Practical Guide for Beginners</w:t>
      </w:r>
      <w:r w:rsidRPr="006F1A47">
        <w:rPr>
          <w:rFonts w:eastAsia="Calibri" w:cstheme="minorHAnsi"/>
          <w:iCs/>
          <w:sz w:val="20"/>
          <w:szCs w:val="20"/>
          <w:lang w:val="en-GB"/>
        </w:rPr>
        <w:t xml:space="preserve">. Seattle: CreateSpace. </w:t>
      </w:r>
      <w:r w:rsidRPr="006F1A47">
        <w:rPr>
          <w:rFonts w:eastAsia="Calibri" w:cstheme="minorHAnsi"/>
          <w:iCs/>
          <w:sz w:val="20"/>
          <w:szCs w:val="20"/>
          <w:lang w:val="en-GB"/>
        </w:rPr>
        <w:softHyphen/>
      </w:r>
    </w:p>
    <w:p w14:paraId="4F9BC519"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Propp, V. J. (1968). </w:t>
      </w:r>
      <w:r w:rsidRPr="006F1A47">
        <w:rPr>
          <w:rFonts w:eastAsia="Calibri" w:cstheme="minorHAnsi"/>
          <w:i/>
          <w:iCs/>
          <w:sz w:val="20"/>
          <w:szCs w:val="20"/>
          <w:lang w:val="en-GB"/>
        </w:rPr>
        <w:t>Morphology of the Folktale</w:t>
      </w:r>
      <w:r w:rsidRPr="006F1A47">
        <w:rPr>
          <w:rFonts w:eastAsia="Calibri" w:cstheme="minorHAnsi"/>
          <w:iCs/>
          <w:sz w:val="20"/>
          <w:szCs w:val="20"/>
          <w:lang w:val="en-GB"/>
        </w:rPr>
        <w:t>. Austin: University of Texas Press.</w:t>
      </w:r>
    </w:p>
    <w:p w14:paraId="25E535C3" w14:textId="77777777" w:rsidR="006F1A47" w:rsidRPr="00E01C93" w:rsidRDefault="006F1A47" w:rsidP="00D75845">
      <w:pPr>
        <w:jc w:val="both"/>
        <w:rPr>
          <w:rFonts w:eastAsia="Calibri" w:cstheme="minorHAnsi"/>
          <w:iCs/>
          <w:sz w:val="20"/>
          <w:szCs w:val="20"/>
        </w:rPr>
      </w:pPr>
      <w:r w:rsidRPr="006F1A47">
        <w:rPr>
          <w:rFonts w:eastAsia="Calibri" w:cstheme="minorHAnsi"/>
          <w:iCs/>
          <w:sz w:val="20"/>
          <w:szCs w:val="20"/>
          <w:lang w:val="en-GB"/>
        </w:rPr>
        <w:t xml:space="preserve">Producers Guild of America. (2012). </w:t>
      </w:r>
      <w:r w:rsidRPr="006F1A47">
        <w:rPr>
          <w:rFonts w:eastAsia="Calibri" w:cstheme="minorHAnsi"/>
          <w:i/>
          <w:iCs/>
          <w:sz w:val="20"/>
          <w:szCs w:val="20"/>
          <w:lang w:val="en-GB"/>
        </w:rPr>
        <w:t>Code of Credits – New Media</w:t>
      </w:r>
      <w:r w:rsidRPr="006F1A47">
        <w:rPr>
          <w:rFonts w:eastAsia="Calibri" w:cstheme="minorHAnsi"/>
          <w:iCs/>
          <w:sz w:val="20"/>
          <w:szCs w:val="20"/>
          <w:lang w:val="en-GB"/>
        </w:rPr>
        <w:t xml:space="preserve">. </w:t>
      </w:r>
      <w:r w:rsidRPr="00E01C93">
        <w:rPr>
          <w:rFonts w:eastAsia="Calibri" w:cstheme="minorHAnsi"/>
          <w:iCs/>
          <w:sz w:val="20"/>
          <w:szCs w:val="20"/>
        </w:rPr>
        <w:t xml:space="preserve">Ανακτήθηκε 10 Ιουνίου 2016 από: </w:t>
      </w:r>
      <w:hyperlink r:id="rId23" w:anchor="transmedia" w:history="1">
        <w:r w:rsidRPr="00E01C93">
          <w:rPr>
            <w:rFonts w:eastAsia="Calibri" w:cstheme="minorHAnsi"/>
            <w:color w:val="0563C1"/>
            <w:sz w:val="20"/>
            <w:szCs w:val="20"/>
            <w:u w:val="single"/>
          </w:rPr>
          <w:t>http://www.producersguild.org/?page=coc_nm#transmedia</w:t>
        </w:r>
      </w:hyperlink>
      <w:r w:rsidRPr="00E01C93">
        <w:rPr>
          <w:rFonts w:eastAsia="Calibri" w:cstheme="minorHAnsi"/>
          <w:iCs/>
          <w:sz w:val="20"/>
          <w:szCs w:val="20"/>
        </w:rPr>
        <w:t xml:space="preserve">.   </w:t>
      </w:r>
    </w:p>
    <w:p w14:paraId="654C3FF9"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Ruppel, M. (2005). </w:t>
      </w:r>
      <w:r w:rsidRPr="006F1A47">
        <w:rPr>
          <w:rFonts w:eastAsia="Calibri" w:cstheme="minorHAnsi"/>
          <w:i/>
          <w:iCs/>
          <w:sz w:val="20"/>
          <w:szCs w:val="20"/>
          <w:lang w:val="en-GB"/>
        </w:rPr>
        <w:t>Learning to Speak Braille: Convergence, Divergence and Cross-Sited</w:t>
      </w:r>
      <w:r w:rsidRPr="006F1A47">
        <w:rPr>
          <w:rFonts w:eastAsia="Calibri" w:cstheme="minorHAnsi"/>
          <w:i/>
          <w:iCs/>
          <w:sz w:val="20"/>
          <w:szCs w:val="20"/>
          <w:lang w:val="en-GB"/>
        </w:rPr>
        <w:br/>
        <w:t>Narratives</w:t>
      </w:r>
      <w:r w:rsidRPr="006F1A47">
        <w:rPr>
          <w:rFonts w:eastAsia="Calibri" w:cstheme="minorHAnsi"/>
          <w:iCs/>
          <w:sz w:val="20"/>
          <w:szCs w:val="20"/>
          <w:lang w:val="en-GB"/>
        </w:rPr>
        <w:t xml:space="preserve">. Slide presentation for oral examinations. University of Maryland, </w:t>
      </w:r>
      <w:r w:rsidRPr="006F1A47">
        <w:rPr>
          <w:rFonts w:eastAsia="Calibri" w:cstheme="minorHAnsi"/>
          <w:iCs/>
          <w:sz w:val="20"/>
          <w:szCs w:val="20"/>
          <w:lang w:val="en-GB"/>
        </w:rPr>
        <w:br/>
        <w:t>College Park.</w:t>
      </w:r>
    </w:p>
    <w:p w14:paraId="393F0DE5"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Ryan, M. L. (2013). </w:t>
      </w:r>
      <w:proofErr w:type="spellStart"/>
      <w:r w:rsidRPr="006F1A47">
        <w:rPr>
          <w:rFonts w:eastAsia="Calibri" w:cstheme="minorHAnsi"/>
          <w:iCs/>
          <w:sz w:val="20"/>
          <w:szCs w:val="20"/>
          <w:lang w:val="en-GB"/>
        </w:rPr>
        <w:t>Transmedial</w:t>
      </w:r>
      <w:proofErr w:type="spellEnd"/>
      <w:r w:rsidRPr="006F1A47">
        <w:rPr>
          <w:rFonts w:eastAsia="Calibri" w:cstheme="minorHAnsi"/>
          <w:iCs/>
          <w:sz w:val="20"/>
          <w:szCs w:val="20"/>
          <w:lang w:val="en-GB"/>
        </w:rPr>
        <w:t xml:space="preserve"> Storytelling and </w:t>
      </w:r>
      <w:proofErr w:type="spellStart"/>
      <w:r w:rsidRPr="006F1A47">
        <w:rPr>
          <w:rFonts w:eastAsia="Calibri" w:cstheme="minorHAnsi"/>
          <w:iCs/>
          <w:sz w:val="20"/>
          <w:szCs w:val="20"/>
          <w:lang w:val="en-GB"/>
        </w:rPr>
        <w:t>Transfictionality</w:t>
      </w:r>
      <w:proofErr w:type="spellEnd"/>
      <w:r w:rsidRPr="006F1A47">
        <w:rPr>
          <w:rFonts w:eastAsia="Calibri" w:cstheme="minorHAnsi"/>
          <w:iCs/>
          <w:sz w:val="20"/>
          <w:szCs w:val="20"/>
          <w:lang w:val="en-GB"/>
        </w:rPr>
        <w:t xml:space="preserve">. </w:t>
      </w:r>
      <w:r w:rsidRPr="006F1A47">
        <w:rPr>
          <w:rFonts w:eastAsia="Calibri" w:cstheme="minorHAnsi"/>
          <w:i/>
          <w:iCs/>
          <w:sz w:val="20"/>
          <w:szCs w:val="20"/>
          <w:lang w:val="en-GB"/>
        </w:rPr>
        <w:t>Poetics</w:t>
      </w:r>
      <w:r w:rsidRPr="006F1A47">
        <w:rPr>
          <w:rFonts w:eastAsia="Calibri" w:cstheme="minorHAnsi"/>
          <w:i/>
          <w:iCs/>
          <w:sz w:val="20"/>
          <w:szCs w:val="20"/>
          <w:lang w:val="en-GB"/>
        </w:rPr>
        <w:br/>
        <w:t>Today</w:t>
      </w:r>
      <w:r w:rsidRPr="006F1A47">
        <w:rPr>
          <w:rFonts w:eastAsia="Calibri" w:cstheme="minorHAnsi"/>
          <w:iCs/>
          <w:sz w:val="20"/>
          <w:szCs w:val="20"/>
          <w:lang w:val="en-GB"/>
        </w:rPr>
        <w:t>, vol. 34, n. 3, (pp. 361-388).</w:t>
      </w:r>
    </w:p>
    <w:p w14:paraId="4304ED3F"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Schmidt, V. L. (2001). </w:t>
      </w:r>
      <w:r w:rsidRPr="006F1A47">
        <w:rPr>
          <w:rFonts w:eastAsia="Calibri" w:cstheme="minorHAnsi"/>
          <w:i/>
          <w:iCs/>
          <w:sz w:val="20"/>
          <w:szCs w:val="20"/>
          <w:lang w:val="en-GB"/>
        </w:rPr>
        <w:t>45 Master Characters: Mythic Models for Creating Original</w:t>
      </w:r>
      <w:r w:rsidRPr="006F1A47">
        <w:rPr>
          <w:rFonts w:eastAsia="Calibri" w:cstheme="minorHAnsi"/>
          <w:i/>
          <w:iCs/>
          <w:sz w:val="20"/>
          <w:szCs w:val="20"/>
          <w:lang w:val="en-GB"/>
        </w:rPr>
        <w:br/>
        <w:t>Characters</w:t>
      </w:r>
      <w:r w:rsidRPr="006F1A47">
        <w:rPr>
          <w:rFonts w:eastAsia="Calibri" w:cstheme="minorHAnsi"/>
          <w:iCs/>
          <w:sz w:val="20"/>
          <w:szCs w:val="20"/>
          <w:lang w:val="en-GB"/>
        </w:rPr>
        <w:t>. Cincinnati, OH: Writer's Digest Books.</w:t>
      </w:r>
    </w:p>
    <w:p w14:paraId="2F0E68AC"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Scolari, C. A. (2009). Transmedia Storytelling: Implicit Consumers, Narrative Worlds and Branding in Contemporary Media Production. </w:t>
      </w:r>
      <w:r w:rsidRPr="006F1A47">
        <w:rPr>
          <w:rFonts w:eastAsia="Calibri" w:cstheme="minorHAnsi"/>
          <w:i/>
          <w:iCs/>
          <w:sz w:val="20"/>
          <w:szCs w:val="20"/>
          <w:lang w:val="en-GB"/>
        </w:rPr>
        <w:t>International Journal of Communication</w:t>
      </w:r>
      <w:r w:rsidRPr="006F1A47">
        <w:rPr>
          <w:rFonts w:eastAsia="Calibri" w:cstheme="minorHAnsi"/>
          <w:iCs/>
          <w:sz w:val="20"/>
          <w:szCs w:val="20"/>
          <w:lang w:val="en-GB"/>
        </w:rPr>
        <w:t>, n. 3, (pp. 586-606).</w:t>
      </w:r>
    </w:p>
    <w:p w14:paraId="56D25FB5" w14:textId="77777777" w:rsidR="006F1A47" w:rsidRPr="00160451" w:rsidRDefault="006F1A47" w:rsidP="00D75845">
      <w:pPr>
        <w:jc w:val="both"/>
        <w:rPr>
          <w:rFonts w:eastAsia="Calibri" w:cstheme="minorHAnsi"/>
          <w:iCs/>
          <w:sz w:val="20"/>
          <w:szCs w:val="20"/>
        </w:rPr>
      </w:pPr>
      <w:r w:rsidRPr="006F1A47">
        <w:rPr>
          <w:rFonts w:eastAsia="Calibri" w:cstheme="minorHAnsi"/>
          <w:iCs/>
          <w:sz w:val="20"/>
          <w:szCs w:val="20"/>
          <w:lang w:val="en-GB"/>
        </w:rPr>
        <w:t>Strickler</w:t>
      </w:r>
      <w:r w:rsidRPr="00E01C93">
        <w:rPr>
          <w:rFonts w:eastAsia="Calibri" w:cstheme="minorHAnsi"/>
          <w:iCs/>
          <w:sz w:val="20"/>
          <w:szCs w:val="20"/>
          <w:lang w:val="en-US"/>
        </w:rPr>
        <w:t xml:space="preserve">, </w:t>
      </w:r>
      <w:r w:rsidRPr="006F1A47">
        <w:rPr>
          <w:rFonts w:eastAsia="Calibri" w:cstheme="minorHAnsi"/>
          <w:iCs/>
          <w:sz w:val="20"/>
          <w:szCs w:val="20"/>
          <w:lang w:val="en-GB"/>
        </w:rPr>
        <w:t>E</w:t>
      </w:r>
      <w:r w:rsidRPr="00E01C93">
        <w:rPr>
          <w:rFonts w:eastAsia="Calibri" w:cstheme="minorHAnsi"/>
          <w:iCs/>
          <w:sz w:val="20"/>
          <w:szCs w:val="20"/>
          <w:lang w:val="en-US"/>
        </w:rPr>
        <w:t xml:space="preserve">. (2012, </w:t>
      </w:r>
      <w:r w:rsidRPr="006F1A47">
        <w:rPr>
          <w:rFonts w:eastAsia="Calibri" w:cstheme="minorHAnsi"/>
          <w:iCs/>
          <w:sz w:val="20"/>
          <w:szCs w:val="20"/>
          <w:lang w:val="en-GB"/>
        </w:rPr>
        <w:t>July</w:t>
      </w:r>
      <w:r w:rsidRPr="00E01C93">
        <w:rPr>
          <w:rFonts w:eastAsia="Calibri" w:cstheme="minorHAnsi"/>
          <w:iCs/>
          <w:sz w:val="20"/>
          <w:szCs w:val="20"/>
          <w:lang w:val="en-US"/>
        </w:rPr>
        <w:t xml:space="preserve"> 23). </w:t>
      </w:r>
      <w:r w:rsidRPr="00E01C93">
        <w:rPr>
          <w:rFonts w:eastAsia="Calibri" w:cstheme="minorHAnsi"/>
          <w:i/>
          <w:iCs/>
          <w:sz w:val="20"/>
          <w:szCs w:val="20"/>
          <w:lang w:val="en-US"/>
        </w:rPr>
        <w:t xml:space="preserve">10 </w:t>
      </w:r>
      <w:r w:rsidRPr="006F1A47">
        <w:rPr>
          <w:rFonts w:eastAsia="Calibri" w:cstheme="minorHAnsi"/>
          <w:i/>
          <w:iCs/>
          <w:sz w:val="20"/>
          <w:szCs w:val="20"/>
          <w:lang w:val="en-GB"/>
        </w:rPr>
        <w:t>Questions</w:t>
      </w:r>
      <w:r w:rsidRPr="00E01C93">
        <w:rPr>
          <w:rFonts w:eastAsia="Calibri" w:cstheme="minorHAnsi"/>
          <w:iCs/>
          <w:sz w:val="20"/>
          <w:szCs w:val="20"/>
          <w:lang w:val="en-US"/>
        </w:rPr>
        <w:t xml:space="preserve">. </w:t>
      </w:r>
      <w:r w:rsidRPr="00E01C93">
        <w:rPr>
          <w:rFonts w:eastAsia="Calibri" w:cstheme="minorHAnsi"/>
          <w:iCs/>
          <w:sz w:val="20"/>
          <w:szCs w:val="20"/>
        </w:rPr>
        <w:t>Ανακτήθηκε</w:t>
      </w:r>
      <w:r w:rsidRPr="00160451">
        <w:rPr>
          <w:rFonts w:eastAsia="Calibri" w:cstheme="minorHAnsi"/>
          <w:iCs/>
          <w:sz w:val="20"/>
          <w:szCs w:val="20"/>
        </w:rPr>
        <w:t xml:space="preserve"> 25 </w:t>
      </w:r>
      <w:r w:rsidRPr="00E01C93">
        <w:rPr>
          <w:rFonts w:eastAsia="Calibri" w:cstheme="minorHAnsi"/>
          <w:iCs/>
          <w:sz w:val="20"/>
          <w:szCs w:val="20"/>
        </w:rPr>
        <w:t>Αυγούστου</w:t>
      </w:r>
      <w:r w:rsidRPr="00160451">
        <w:rPr>
          <w:rFonts w:eastAsia="Calibri" w:cstheme="minorHAnsi"/>
          <w:iCs/>
          <w:sz w:val="20"/>
          <w:szCs w:val="20"/>
        </w:rPr>
        <w:t xml:space="preserve"> 2016 </w:t>
      </w:r>
      <w:r w:rsidRPr="00E01C93">
        <w:rPr>
          <w:rFonts w:eastAsia="Calibri" w:cstheme="minorHAnsi"/>
          <w:iCs/>
          <w:sz w:val="20"/>
          <w:szCs w:val="20"/>
        </w:rPr>
        <w:t>από</w:t>
      </w:r>
      <w:r w:rsidRPr="00160451">
        <w:rPr>
          <w:rFonts w:eastAsia="Calibri" w:cstheme="minorHAnsi"/>
          <w:iCs/>
          <w:sz w:val="20"/>
          <w:szCs w:val="20"/>
        </w:rPr>
        <w:t xml:space="preserve">: </w:t>
      </w:r>
      <w:hyperlink r:id="rId24" w:history="1">
        <w:r w:rsidRPr="00121C44">
          <w:rPr>
            <w:rFonts w:eastAsia="Calibri" w:cstheme="minorHAnsi"/>
            <w:color w:val="0563C1"/>
            <w:sz w:val="20"/>
            <w:szCs w:val="20"/>
            <w:u w:val="single"/>
            <w:lang w:val="en-GB"/>
          </w:rPr>
          <w:t>https</w:t>
        </w:r>
        <w:r w:rsidRPr="00160451">
          <w:rPr>
            <w:rFonts w:eastAsia="Calibri" w:cstheme="minorHAnsi"/>
            <w:color w:val="0563C1"/>
            <w:sz w:val="20"/>
            <w:szCs w:val="20"/>
            <w:u w:val="single"/>
          </w:rPr>
          <w:t>://</w:t>
        </w:r>
        <w:proofErr w:type="spellStart"/>
        <w:r w:rsidRPr="00121C44">
          <w:rPr>
            <w:rFonts w:eastAsia="Calibri" w:cstheme="minorHAnsi"/>
            <w:color w:val="0563C1"/>
            <w:sz w:val="20"/>
            <w:szCs w:val="20"/>
            <w:u w:val="single"/>
            <w:lang w:val="en-GB"/>
          </w:rPr>
          <w:t>transmediadesign</w:t>
        </w:r>
        <w:proofErr w:type="spellEnd"/>
        <w:r w:rsidRPr="00160451">
          <w:rPr>
            <w:rFonts w:eastAsia="Calibri" w:cstheme="minorHAnsi"/>
            <w:color w:val="0563C1"/>
            <w:sz w:val="20"/>
            <w:szCs w:val="20"/>
            <w:u w:val="single"/>
          </w:rPr>
          <w:t>.</w:t>
        </w:r>
        <w:proofErr w:type="spellStart"/>
        <w:r w:rsidRPr="00121C44">
          <w:rPr>
            <w:rFonts w:eastAsia="Calibri" w:cstheme="minorHAnsi"/>
            <w:color w:val="0563C1"/>
            <w:sz w:val="20"/>
            <w:szCs w:val="20"/>
            <w:u w:val="single"/>
            <w:lang w:val="en-GB"/>
          </w:rPr>
          <w:t>wordpress</w:t>
        </w:r>
        <w:proofErr w:type="spellEnd"/>
        <w:r w:rsidRPr="00160451">
          <w:rPr>
            <w:rFonts w:eastAsia="Calibri" w:cstheme="minorHAnsi"/>
            <w:color w:val="0563C1"/>
            <w:sz w:val="20"/>
            <w:szCs w:val="20"/>
            <w:u w:val="single"/>
          </w:rPr>
          <w:t>.</w:t>
        </w:r>
        <w:r w:rsidRPr="00121C44">
          <w:rPr>
            <w:rFonts w:eastAsia="Calibri" w:cstheme="minorHAnsi"/>
            <w:color w:val="0563C1"/>
            <w:sz w:val="20"/>
            <w:szCs w:val="20"/>
            <w:u w:val="single"/>
            <w:lang w:val="en-GB"/>
          </w:rPr>
          <w:t>com</w:t>
        </w:r>
        <w:r w:rsidRPr="00160451">
          <w:rPr>
            <w:rFonts w:eastAsia="Calibri" w:cstheme="minorHAnsi"/>
            <w:color w:val="0563C1"/>
            <w:sz w:val="20"/>
            <w:szCs w:val="20"/>
            <w:u w:val="single"/>
          </w:rPr>
          <w:t>/</w:t>
        </w:r>
        <w:proofErr w:type="spellStart"/>
        <w:r w:rsidRPr="00121C44">
          <w:rPr>
            <w:rFonts w:eastAsia="Calibri" w:cstheme="minorHAnsi"/>
            <w:color w:val="0563C1"/>
            <w:sz w:val="20"/>
            <w:szCs w:val="20"/>
            <w:u w:val="single"/>
            <w:lang w:val="en-GB"/>
          </w:rPr>
          <w:t>assigments</w:t>
        </w:r>
        <w:proofErr w:type="spellEnd"/>
        <w:r w:rsidRPr="00160451">
          <w:rPr>
            <w:rFonts w:eastAsia="Calibri" w:cstheme="minorHAnsi"/>
            <w:color w:val="0563C1"/>
            <w:sz w:val="20"/>
            <w:szCs w:val="20"/>
            <w:u w:val="single"/>
          </w:rPr>
          <w:t>/10-</w:t>
        </w:r>
        <w:r w:rsidRPr="00121C44">
          <w:rPr>
            <w:rFonts w:eastAsia="Calibri" w:cstheme="minorHAnsi"/>
            <w:color w:val="0563C1"/>
            <w:sz w:val="20"/>
            <w:szCs w:val="20"/>
            <w:u w:val="single"/>
            <w:lang w:val="en-GB"/>
          </w:rPr>
          <w:t>questions</w:t>
        </w:r>
        <w:r w:rsidRPr="00160451">
          <w:rPr>
            <w:rFonts w:eastAsia="Calibri" w:cstheme="minorHAnsi"/>
            <w:color w:val="0563C1"/>
            <w:sz w:val="20"/>
            <w:szCs w:val="20"/>
            <w:u w:val="single"/>
          </w:rPr>
          <w:t>/</w:t>
        </w:r>
      </w:hyperlink>
      <w:r w:rsidRPr="00160451">
        <w:rPr>
          <w:rFonts w:eastAsia="Calibri" w:cstheme="minorHAnsi"/>
          <w:iCs/>
          <w:sz w:val="20"/>
          <w:szCs w:val="20"/>
        </w:rPr>
        <w:t xml:space="preserve">.  </w:t>
      </w:r>
    </w:p>
    <w:p w14:paraId="5FAE78B2" w14:textId="77777777" w:rsidR="006F1A47" w:rsidRPr="00E01C93" w:rsidRDefault="006F1A47" w:rsidP="00D75845">
      <w:pPr>
        <w:jc w:val="both"/>
        <w:rPr>
          <w:rFonts w:eastAsia="Calibri" w:cstheme="minorHAnsi"/>
          <w:sz w:val="20"/>
          <w:szCs w:val="20"/>
        </w:rPr>
      </w:pPr>
      <w:r w:rsidRPr="00E01C93">
        <w:rPr>
          <w:rFonts w:eastAsia="Calibri" w:cstheme="minorHAnsi"/>
          <w:sz w:val="20"/>
          <w:szCs w:val="20"/>
          <w:lang w:val="en-US"/>
        </w:rPr>
        <w:t xml:space="preserve">Thorburn, D., &amp; Jenkins, H. (2004). </w:t>
      </w:r>
      <w:r w:rsidRPr="00E01C93">
        <w:rPr>
          <w:rFonts w:eastAsia="Calibri" w:cstheme="minorHAnsi"/>
          <w:i/>
          <w:iCs/>
          <w:sz w:val="20"/>
          <w:szCs w:val="20"/>
          <w:lang w:val="en-US"/>
        </w:rPr>
        <w:t>Rethinking media change: the aesthetics of</w:t>
      </w:r>
      <w:r w:rsidRPr="00E01C93">
        <w:rPr>
          <w:rFonts w:eastAsia="Calibri" w:cstheme="minorHAnsi"/>
          <w:i/>
          <w:sz w:val="20"/>
          <w:szCs w:val="20"/>
          <w:lang w:val="en-US"/>
        </w:rPr>
        <w:br/>
      </w:r>
      <w:r w:rsidRPr="00E01C93">
        <w:rPr>
          <w:rFonts w:eastAsia="Calibri" w:cstheme="minorHAnsi"/>
          <w:i/>
          <w:iCs/>
          <w:sz w:val="20"/>
          <w:szCs w:val="20"/>
          <w:lang w:val="en-US"/>
        </w:rPr>
        <w:t>transition</w:t>
      </w:r>
      <w:r w:rsidRPr="00E01C93">
        <w:rPr>
          <w:rFonts w:eastAsia="Calibri" w:cstheme="minorHAnsi"/>
          <w:sz w:val="20"/>
          <w:szCs w:val="20"/>
          <w:lang w:val="en-US"/>
        </w:rPr>
        <w:t>. MIT</w:t>
      </w:r>
      <w:r w:rsidRPr="00E01C93">
        <w:rPr>
          <w:rFonts w:eastAsia="Calibri" w:cstheme="minorHAnsi"/>
          <w:sz w:val="20"/>
          <w:szCs w:val="20"/>
        </w:rPr>
        <w:t xml:space="preserve"> </w:t>
      </w:r>
      <w:r w:rsidRPr="00E01C93">
        <w:rPr>
          <w:rFonts w:eastAsia="Calibri" w:cstheme="minorHAnsi"/>
          <w:sz w:val="20"/>
          <w:szCs w:val="20"/>
          <w:lang w:val="en-US"/>
        </w:rPr>
        <w:t>press</w:t>
      </w:r>
      <w:r w:rsidRPr="00E01C93">
        <w:rPr>
          <w:rFonts w:eastAsia="Calibri" w:cstheme="minorHAnsi"/>
          <w:sz w:val="20"/>
          <w:szCs w:val="20"/>
        </w:rPr>
        <w:t xml:space="preserve">. Ανακτήθηκε 5 Μαΐου 2016 από: </w:t>
      </w:r>
      <w:r w:rsidR="00D75845">
        <w:fldChar w:fldCharType="begin"/>
      </w:r>
      <w:r w:rsidR="00D75845">
        <w:instrText xml:space="preserve"> HYPERLINK "http://web.mit.edu/transition/subs/aesthintro.html" </w:instrText>
      </w:r>
      <w:r w:rsidR="00D75845">
        <w:fldChar w:fldCharType="separate"/>
      </w:r>
      <w:r w:rsidRPr="00E01C93">
        <w:rPr>
          <w:rFonts w:eastAsia="Calibri" w:cstheme="minorHAnsi"/>
          <w:color w:val="0563C1"/>
          <w:sz w:val="20"/>
          <w:szCs w:val="20"/>
          <w:u w:val="single"/>
          <w:lang w:val="en-US"/>
        </w:rPr>
        <w:t>http</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web</w:t>
      </w:r>
      <w:r w:rsidRPr="00E01C93">
        <w:rPr>
          <w:rFonts w:eastAsia="Calibri" w:cstheme="minorHAnsi"/>
          <w:color w:val="0563C1"/>
          <w:sz w:val="20"/>
          <w:szCs w:val="20"/>
          <w:u w:val="single"/>
        </w:rPr>
        <w:t>.</w:t>
      </w:r>
      <w:proofErr w:type="spellStart"/>
      <w:r w:rsidRPr="00E01C93">
        <w:rPr>
          <w:rFonts w:eastAsia="Calibri" w:cstheme="minorHAnsi"/>
          <w:color w:val="0563C1"/>
          <w:sz w:val="20"/>
          <w:szCs w:val="20"/>
          <w:u w:val="single"/>
          <w:lang w:val="en-US"/>
        </w:rPr>
        <w:t>mit</w:t>
      </w:r>
      <w:proofErr w:type="spellEnd"/>
      <w:r w:rsidRPr="00E01C93">
        <w:rPr>
          <w:rFonts w:eastAsia="Calibri" w:cstheme="minorHAnsi"/>
          <w:color w:val="0563C1"/>
          <w:sz w:val="20"/>
          <w:szCs w:val="20"/>
          <w:u w:val="single"/>
        </w:rPr>
        <w:t>.</w:t>
      </w:r>
      <w:proofErr w:type="spellStart"/>
      <w:r w:rsidRPr="00E01C93">
        <w:rPr>
          <w:rFonts w:eastAsia="Calibri" w:cstheme="minorHAnsi"/>
          <w:color w:val="0563C1"/>
          <w:sz w:val="20"/>
          <w:szCs w:val="20"/>
          <w:u w:val="single"/>
          <w:lang w:val="en-US"/>
        </w:rPr>
        <w:t>edu</w:t>
      </w:r>
      <w:proofErr w:type="spellEnd"/>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transition</w:t>
      </w:r>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subs</w:t>
      </w:r>
      <w:r w:rsidRPr="00E01C93">
        <w:rPr>
          <w:rFonts w:eastAsia="Calibri" w:cstheme="minorHAnsi"/>
          <w:color w:val="0563C1"/>
          <w:sz w:val="20"/>
          <w:szCs w:val="20"/>
          <w:u w:val="single"/>
        </w:rPr>
        <w:t>/</w:t>
      </w:r>
      <w:proofErr w:type="spellStart"/>
      <w:r w:rsidRPr="00E01C93">
        <w:rPr>
          <w:rFonts w:eastAsia="Calibri" w:cstheme="minorHAnsi"/>
          <w:color w:val="0563C1"/>
          <w:sz w:val="20"/>
          <w:szCs w:val="20"/>
          <w:u w:val="single"/>
          <w:lang w:val="en-US"/>
        </w:rPr>
        <w:t>aesthintro</w:t>
      </w:r>
      <w:proofErr w:type="spellEnd"/>
      <w:r w:rsidRPr="00E01C93">
        <w:rPr>
          <w:rFonts w:eastAsia="Calibri" w:cstheme="minorHAnsi"/>
          <w:color w:val="0563C1"/>
          <w:sz w:val="20"/>
          <w:szCs w:val="20"/>
          <w:u w:val="single"/>
        </w:rPr>
        <w:t>.</w:t>
      </w:r>
      <w:r w:rsidRPr="00E01C93">
        <w:rPr>
          <w:rFonts w:eastAsia="Calibri" w:cstheme="minorHAnsi"/>
          <w:color w:val="0563C1"/>
          <w:sz w:val="20"/>
          <w:szCs w:val="20"/>
          <w:u w:val="single"/>
          <w:lang w:val="en-US"/>
        </w:rPr>
        <w:t>html</w:t>
      </w:r>
      <w:r w:rsidR="00D75845">
        <w:rPr>
          <w:rFonts w:eastAsia="Calibri" w:cstheme="minorHAnsi"/>
          <w:color w:val="0563C1"/>
          <w:sz w:val="20"/>
          <w:szCs w:val="20"/>
          <w:u w:val="single"/>
          <w:lang w:val="en-US"/>
        </w:rPr>
        <w:fldChar w:fldCharType="end"/>
      </w:r>
      <w:r w:rsidRPr="00E01C93">
        <w:rPr>
          <w:rFonts w:eastAsia="Calibri" w:cstheme="minorHAnsi"/>
          <w:sz w:val="20"/>
          <w:szCs w:val="20"/>
        </w:rPr>
        <w:t xml:space="preserve"> </w:t>
      </w:r>
    </w:p>
    <w:p w14:paraId="43592B9E"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Umberto E. (1986). Casablanca: Cult Movies and Intertextual Collage. in </w:t>
      </w:r>
      <w:r w:rsidRPr="006F1A47">
        <w:rPr>
          <w:rFonts w:eastAsia="Calibri" w:cstheme="minorHAnsi"/>
          <w:i/>
          <w:iCs/>
          <w:sz w:val="20"/>
          <w:szCs w:val="20"/>
          <w:lang w:val="en-GB"/>
        </w:rPr>
        <w:t>Travels in Hyperreality</w:t>
      </w:r>
      <w:r w:rsidRPr="006F1A47">
        <w:rPr>
          <w:rFonts w:eastAsia="Calibri" w:cstheme="minorHAnsi"/>
          <w:iCs/>
          <w:sz w:val="20"/>
          <w:szCs w:val="20"/>
          <w:lang w:val="en-GB"/>
        </w:rPr>
        <w:t>. New York: Harcourt Brace. (pp. 198)</w:t>
      </w:r>
      <w:r w:rsidRPr="00E01C93">
        <w:rPr>
          <w:rFonts w:eastAsia="Calibri" w:cstheme="minorHAnsi"/>
          <w:iCs/>
          <w:sz w:val="20"/>
          <w:szCs w:val="20"/>
          <w:lang w:val="en-US"/>
        </w:rPr>
        <w:t>.</w:t>
      </w:r>
    </w:p>
    <w:p w14:paraId="4EEB15E7"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Van </w:t>
      </w:r>
      <w:proofErr w:type="spellStart"/>
      <w:r w:rsidRPr="006F1A47">
        <w:rPr>
          <w:rFonts w:eastAsia="Calibri" w:cstheme="minorHAnsi"/>
          <w:iCs/>
          <w:sz w:val="20"/>
          <w:szCs w:val="20"/>
          <w:lang w:val="en-GB"/>
        </w:rPr>
        <w:t>Leeuwerden</w:t>
      </w:r>
      <w:proofErr w:type="spellEnd"/>
      <w:r w:rsidRPr="006F1A47">
        <w:rPr>
          <w:rFonts w:eastAsia="Calibri" w:cstheme="minorHAnsi"/>
          <w:iCs/>
          <w:sz w:val="20"/>
          <w:szCs w:val="20"/>
          <w:lang w:val="en-GB"/>
        </w:rPr>
        <w:t xml:space="preserve">, T. (2015). </w:t>
      </w:r>
      <w:r w:rsidRPr="006F1A47">
        <w:rPr>
          <w:rFonts w:eastAsia="Calibri" w:cstheme="minorHAnsi"/>
          <w:i/>
          <w:iCs/>
          <w:sz w:val="20"/>
          <w:szCs w:val="20"/>
          <w:lang w:val="en-GB"/>
        </w:rPr>
        <w:t>Transmedia Storytelling, The benefits of Participative Consistency and the Hidden Markov Model</w:t>
      </w:r>
      <w:r w:rsidRPr="006F1A47">
        <w:rPr>
          <w:rFonts w:eastAsia="Calibri" w:cstheme="minorHAnsi"/>
          <w:i/>
          <w:iCs/>
          <w:sz w:val="20"/>
          <w:szCs w:val="20"/>
          <w:lang w:val="en-GB"/>
        </w:rPr>
        <w:softHyphen/>
      </w:r>
      <w:r w:rsidRPr="006F1A47">
        <w:rPr>
          <w:rFonts w:eastAsia="Calibri" w:cstheme="minorHAnsi"/>
          <w:i/>
          <w:iCs/>
          <w:sz w:val="20"/>
          <w:szCs w:val="20"/>
          <w:lang w:val="en-GB"/>
        </w:rPr>
        <w:softHyphen/>
      </w:r>
      <w:r w:rsidRPr="006F1A47">
        <w:rPr>
          <w:rFonts w:eastAsia="Calibri" w:cstheme="minorHAnsi"/>
          <w:iCs/>
          <w:sz w:val="20"/>
          <w:szCs w:val="20"/>
          <w:lang w:val="en-GB"/>
        </w:rPr>
        <w:t>. (NHTV Breda University of Applied Sciences).</w:t>
      </w:r>
    </w:p>
    <w:p w14:paraId="2BB42007"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van </w:t>
      </w:r>
      <w:proofErr w:type="spellStart"/>
      <w:r w:rsidRPr="006F1A47">
        <w:rPr>
          <w:rFonts w:eastAsia="Calibri" w:cstheme="minorHAnsi"/>
          <w:iCs/>
          <w:sz w:val="20"/>
          <w:szCs w:val="20"/>
          <w:lang w:val="en-GB"/>
        </w:rPr>
        <w:t>Wyngaarden</w:t>
      </w:r>
      <w:proofErr w:type="spellEnd"/>
      <w:r w:rsidRPr="006F1A47">
        <w:rPr>
          <w:rFonts w:eastAsia="Calibri" w:cstheme="minorHAnsi"/>
          <w:iCs/>
          <w:sz w:val="20"/>
          <w:szCs w:val="20"/>
          <w:lang w:val="en-GB"/>
        </w:rPr>
        <w:t xml:space="preserve">, E. (2014, October 1). </w:t>
      </w:r>
      <w:r w:rsidRPr="006F1A47">
        <w:rPr>
          <w:rFonts w:eastAsia="Calibri" w:cstheme="minorHAnsi"/>
          <w:i/>
          <w:iCs/>
          <w:sz w:val="20"/>
          <w:szCs w:val="20"/>
          <w:lang w:val="en-GB"/>
        </w:rPr>
        <w:t xml:space="preserve">Transmedia Value Creation, The Paradigm Shift </w:t>
      </w:r>
      <w:proofErr w:type="gramStart"/>
      <w:r w:rsidRPr="006F1A47">
        <w:rPr>
          <w:rFonts w:eastAsia="Calibri" w:cstheme="minorHAnsi"/>
          <w:i/>
          <w:iCs/>
          <w:sz w:val="20"/>
          <w:szCs w:val="20"/>
          <w:lang w:val="en-GB"/>
        </w:rPr>
        <w:t>In</w:t>
      </w:r>
      <w:proofErr w:type="gramEnd"/>
      <w:r w:rsidRPr="006F1A47">
        <w:rPr>
          <w:rFonts w:eastAsia="Calibri" w:cstheme="minorHAnsi"/>
          <w:i/>
          <w:iCs/>
          <w:sz w:val="20"/>
          <w:szCs w:val="20"/>
          <w:lang w:val="en-GB"/>
        </w:rPr>
        <w:t xml:space="preserve"> Media</w:t>
      </w:r>
      <w:r w:rsidRPr="006F1A47">
        <w:rPr>
          <w:rFonts w:eastAsia="Calibri" w:cstheme="minorHAnsi"/>
          <w:iCs/>
          <w:sz w:val="20"/>
          <w:szCs w:val="20"/>
          <w:lang w:val="en-GB"/>
        </w:rPr>
        <w:t>. Transmedia desk, Training for trainers.</w:t>
      </w:r>
    </w:p>
    <w:p w14:paraId="383D6F9B" w14:textId="77777777" w:rsidR="006F1A47" w:rsidRPr="00E01C93" w:rsidRDefault="006F1A47" w:rsidP="00D75845">
      <w:pPr>
        <w:jc w:val="both"/>
        <w:rPr>
          <w:rFonts w:eastAsia="Calibri" w:cstheme="minorHAnsi"/>
          <w:iCs/>
          <w:sz w:val="20"/>
          <w:szCs w:val="20"/>
          <w:lang w:val="en-US"/>
        </w:rPr>
      </w:pPr>
      <w:proofErr w:type="spellStart"/>
      <w:r w:rsidRPr="006F1A47">
        <w:rPr>
          <w:rFonts w:eastAsia="Calibri" w:cstheme="minorHAnsi"/>
          <w:iCs/>
          <w:sz w:val="20"/>
          <w:szCs w:val="20"/>
          <w:lang w:val="en-GB"/>
        </w:rPr>
        <w:lastRenderedPageBreak/>
        <w:t>Verigakis</w:t>
      </w:r>
      <w:proofErr w:type="spellEnd"/>
      <w:r w:rsidRPr="006F1A47">
        <w:rPr>
          <w:rFonts w:eastAsia="Calibri" w:cstheme="minorHAnsi"/>
          <w:iCs/>
          <w:sz w:val="20"/>
          <w:szCs w:val="20"/>
          <w:lang w:val="en-GB"/>
        </w:rPr>
        <w:t xml:space="preserve">, N., Stavrakis, M., &amp; </w:t>
      </w:r>
      <w:proofErr w:type="spellStart"/>
      <w:r w:rsidRPr="006F1A47">
        <w:rPr>
          <w:rFonts w:eastAsia="Calibri" w:cstheme="minorHAnsi"/>
          <w:iCs/>
          <w:sz w:val="20"/>
          <w:szCs w:val="20"/>
          <w:lang w:val="en-GB"/>
        </w:rPr>
        <w:t>Darzentas</w:t>
      </w:r>
      <w:proofErr w:type="spellEnd"/>
      <w:r w:rsidRPr="006F1A47">
        <w:rPr>
          <w:rFonts w:eastAsia="Calibri" w:cstheme="minorHAnsi"/>
          <w:iCs/>
          <w:sz w:val="20"/>
          <w:szCs w:val="20"/>
          <w:lang w:val="en-GB"/>
        </w:rPr>
        <w:t xml:space="preserve">, J. (2010). </w:t>
      </w:r>
      <w:r w:rsidRPr="00E01C93">
        <w:rPr>
          <w:rFonts w:eastAsia="Calibri" w:cstheme="minorHAnsi"/>
          <w:i/>
          <w:iCs/>
          <w:sz w:val="20"/>
          <w:szCs w:val="20"/>
          <w:lang w:val="en-US"/>
        </w:rPr>
        <w:t xml:space="preserve">Educational Interactive Storytelling for Narrative Comprehension and Recall in Dyslexic Children: Employing a Mythic Narrative Structure. </w:t>
      </w:r>
      <w:r w:rsidRPr="00E01C93">
        <w:rPr>
          <w:rFonts w:eastAsia="Calibri" w:cstheme="minorHAnsi"/>
          <w:iCs/>
          <w:sz w:val="20"/>
          <w:szCs w:val="20"/>
          <w:lang w:val="en-US"/>
        </w:rPr>
        <w:t>(University of the Aegean, Department of System and Product Design Engineering,).</w:t>
      </w:r>
    </w:p>
    <w:p w14:paraId="27EF5697"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Vogler, C. (2007). </w:t>
      </w:r>
      <w:r w:rsidRPr="006F1A47">
        <w:rPr>
          <w:rFonts w:eastAsia="Calibri" w:cstheme="minorHAnsi"/>
          <w:i/>
          <w:iCs/>
          <w:sz w:val="20"/>
          <w:szCs w:val="20"/>
          <w:lang w:val="en-GB"/>
        </w:rPr>
        <w:t>The Writer’s Journey, Mythic Structure for Writers</w:t>
      </w:r>
      <w:r w:rsidRPr="006F1A47">
        <w:rPr>
          <w:rFonts w:eastAsia="Calibri" w:cstheme="minorHAnsi"/>
          <w:iCs/>
          <w:sz w:val="20"/>
          <w:szCs w:val="20"/>
          <w:lang w:val="en-GB"/>
        </w:rPr>
        <w:t>. Los Angeles: Michael Wiese Productions.</w:t>
      </w:r>
    </w:p>
    <w:p w14:paraId="23D9AB0F" w14:textId="77777777" w:rsidR="006F1A47" w:rsidRPr="006F1A47" w:rsidRDefault="006F1A47" w:rsidP="00D75845">
      <w:pPr>
        <w:jc w:val="both"/>
        <w:rPr>
          <w:rFonts w:eastAsia="Calibri" w:cstheme="minorHAnsi"/>
          <w:iCs/>
          <w:sz w:val="20"/>
          <w:szCs w:val="20"/>
          <w:lang w:val="en-GB"/>
        </w:rPr>
      </w:pPr>
      <w:r w:rsidRPr="006F1A47">
        <w:rPr>
          <w:rFonts w:eastAsia="Calibri" w:cstheme="minorHAnsi"/>
          <w:iCs/>
          <w:sz w:val="20"/>
          <w:szCs w:val="20"/>
          <w:lang w:val="en-GB"/>
        </w:rPr>
        <w:t xml:space="preserve">Von Stackelberg, P. (2011). </w:t>
      </w:r>
      <w:r w:rsidRPr="006F1A47">
        <w:rPr>
          <w:rFonts w:eastAsia="Calibri" w:cstheme="minorHAnsi"/>
          <w:i/>
          <w:iCs/>
          <w:sz w:val="20"/>
          <w:szCs w:val="20"/>
          <w:lang w:val="en-GB"/>
        </w:rPr>
        <w:t>Creating Transmedia Narratives: The Structure and Design of Stories Told Across Multiple Media</w:t>
      </w:r>
      <w:r w:rsidRPr="006F1A47">
        <w:rPr>
          <w:rFonts w:eastAsia="Calibri" w:cstheme="minorHAnsi"/>
          <w:iCs/>
          <w:sz w:val="20"/>
          <w:szCs w:val="20"/>
          <w:lang w:val="en-GB"/>
        </w:rPr>
        <w:t>. (Master’s thesis, School of Information Design and Technology, State University of New York, Institute of Technology).</w:t>
      </w:r>
    </w:p>
    <w:p w14:paraId="70842DDF" w14:textId="77777777" w:rsidR="006F1A47" w:rsidRPr="00E01C93" w:rsidRDefault="006F1A47" w:rsidP="00D75845">
      <w:pPr>
        <w:jc w:val="both"/>
        <w:rPr>
          <w:rFonts w:eastAsia="Calibri" w:cstheme="minorHAnsi"/>
          <w:iCs/>
          <w:sz w:val="20"/>
          <w:szCs w:val="20"/>
        </w:rPr>
      </w:pPr>
      <w:r w:rsidRPr="00E01C93">
        <w:rPr>
          <w:rFonts w:eastAsia="Calibri" w:cstheme="minorHAnsi"/>
          <w:iCs/>
          <w:sz w:val="20"/>
          <w:szCs w:val="20"/>
        </w:rPr>
        <w:t xml:space="preserve">Ευδοκιάς, Β. (2016). </w:t>
      </w:r>
      <w:r w:rsidRPr="00E01C93">
        <w:rPr>
          <w:rFonts w:eastAsia="Calibri" w:cstheme="minorHAnsi"/>
          <w:i/>
          <w:iCs/>
          <w:sz w:val="20"/>
          <w:szCs w:val="20"/>
        </w:rPr>
        <w:t>Διαμεσική αφήγηση ιστοριών: Θεωρητική – Αναλυτική προσέγγιση και μελέτη περίπτωσης</w:t>
      </w:r>
      <w:r w:rsidRPr="00E01C93">
        <w:rPr>
          <w:rFonts w:eastAsia="Calibri" w:cstheme="minorHAnsi"/>
          <w:iCs/>
          <w:sz w:val="20"/>
          <w:szCs w:val="20"/>
        </w:rPr>
        <w:t>. (Διπλωματική εργασία, Πανεπιστήμιο Αιγαίου, Τμήμα Μηχανικών Σχεδίασης Προϊόντων και συστημάτων).</w:t>
      </w:r>
    </w:p>
    <w:p w14:paraId="19E0B289" w14:textId="77777777" w:rsidR="006F1A47" w:rsidRPr="00E01C93" w:rsidRDefault="006F1A47" w:rsidP="00D75845">
      <w:pPr>
        <w:jc w:val="both"/>
        <w:rPr>
          <w:rFonts w:eastAsia="Calibri" w:cstheme="minorHAnsi"/>
          <w:iCs/>
          <w:sz w:val="20"/>
          <w:szCs w:val="20"/>
        </w:rPr>
      </w:pPr>
      <w:r w:rsidRPr="00E01C93">
        <w:rPr>
          <w:rFonts w:eastAsia="Calibri" w:cstheme="minorHAnsi"/>
          <w:iCs/>
          <w:sz w:val="20"/>
          <w:szCs w:val="20"/>
        </w:rPr>
        <w:t xml:space="preserve">Καλαμπάκας, Β., &amp; Κυριακουλάκος, Π. (2015). </w:t>
      </w:r>
      <w:r w:rsidRPr="00E01C93">
        <w:rPr>
          <w:rFonts w:eastAsia="Calibri" w:cstheme="minorHAnsi"/>
          <w:i/>
          <w:iCs/>
          <w:sz w:val="20"/>
          <w:szCs w:val="20"/>
        </w:rPr>
        <w:t>Η οπτικοακουστική κατασκευή</w:t>
      </w:r>
      <w:r w:rsidRPr="00E01C93">
        <w:rPr>
          <w:rFonts w:eastAsia="Calibri" w:cstheme="minorHAnsi"/>
          <w:iCs/>
          <w:sz w:val="20"/>
          <w:szCs w:val="20"/>
        </w:rPr>
        <w:t>. Ελληνικά Ακαδημαϊκά Ηλεκτρονικά Συγγράμματ</w:t>
      </w:r>
      <w:r>
        <w:rPr>
          <w:rFonts w:eastAsia="Calibri" w:cstheme="minorHAnsi"/>
          <w:iCs/>
          <w:sz w:val="20"/>
          <w:szCs w:val="20"/>
        </w:rPr>
        <w:t>α και Βοηθήματα:</w:t>
      </w:r>
      <w:r w:rsidRPr="00E01C93">
        <w:rPr>
          <w:rFonts w:eastAsia="Calibri" w:cstheme="minorHAnsi"/>
          <w:iCs/>
          <w:sz w:val="20"/>
          <w:szCs w:val="20"/>
        </w:rPr>
        <w:t xml:space="preserve"> </w:t>
      </w:r>
      <w:hyperlink r:id="rId25" w:history="1">
        <w:r w:rsidRPr="00E01C93">
          <w:rPr>
            <w:rFonts w:eastAsia="Calibri" w:cstheme="minorHAnsi"/>
            <w:color w:val="0563C1"/>
            <w:sz w:val="20"/>
            <w:szCs w:val="20"/>
            <w:u w:val="single"/>
          </w:rPr>
          <w:t>https://repository.kallipos.gr/handle/11419/5709</w:t>
        </w:r>
      </w:hyperlink>
      <w:r w:rsidRPr="00E01C93">
        <w:rPr>
          <w:rFonts w:eastAsia="Calibri" w:cstheme="minorHAnsi"/>
          <w:iCs/>
          <w:sz w:val="20"/>
          <w:szCs w:val="20"/>
        </w:rPr>
        <w:t>.</w:t>
      </w:r>
    </w:p>
    <w:p w14:paraId="5C2DE23F" w14:textId="77777777" w:rsidR="006F1A47" w:rsidRPr="00E01C93" w:rsidRDefault="006F1A47" w:rsidP="00D75845">
      <w:pPr>
        <w:jc w:val="both"/>
        <w:rPr>
          <w:rFonts w:eastAsia="Calibri" w:cstheme="minorHAnsi"/>
          <w:iCs/>
          <w:sz w:val="20"/>
          <w:szCs w:val="20"/>
        </w:rPr>
      </w:pPr>
      <w:r w:rsidRPr="00E01C93">
        <w:rPr>
          <w:rFonts w:eastAsia="Calibri" w:cstheme="minorHAnsi"/>
          <w:iCs/>
          <w:sz w:val="20"/>
          <w:szCs w:val="20"/>
        </w:rPr>
        <w:t xml:space="preserve">Καλουντζή, K. (2016). </w:t>
      </w:r>
      <w:r w:rsidRPr="00E01C93">
        <w:rPr>
          <w:rFonts w:eastAsia="Calibri" w:cstheme="minorHAnsi"/>
          <w:i/>
          <w:iCs/>
          <w:sz w:val="20"/>
          <w:szCs w:val="20"/>
        </w:rPr>
        <w:t>Transmedia Fantasy Worldbuilding, Μελέτη για τη δημιουργική κατασκευή φανταστικών κοσμοειδώλων</w:t>
      </w:r>
      <w:r w:rsidRPr="00E01C93">
        <w:rPr>
          <w:rFonts w:eastAsia="Calibri" w:cstheme="minorHAnsi"/>
          <w:iCs/>
          <w:sz w:val="20"/>
          <w:szCs w:val="20"/>
        </w:rPr>
        <w:t>. (Διπλωματική εργασία, Πανεπιστήμιο Αιγαίου, Τμήμα Μηχανικών Σχεδίασης Προϊόντων και συστημάτων).</w:t>
      </w:r>
    </w:p>
    <w:p w14:paraId="674D78BB" w14:textId="77777777" w:rsidR="006F1A47" w:rsidRPr="00E01C93" w:rsidRDefault="006F1A47" w:rsidP="00D75845">
      <w:pPr>
        <w:jc w:val="both"/>
        <w:rPr>
          <w:rFonts w:eastAsia="Calibri" w:cstheme="minorHAnsi"/>
          <w:iCs/>
          <w:sz w:val="20"/>
          <w:szCs w:val="20"/>
        </w:rPr>
      </w:pPr>
      <w:r w:rsidRPr="00E01C93">
        <w:rPr>
          <w:rFonts w:eastAsia="Calibri" w:cstheme="minorHAnsi"/>
          <w:iCs/>
          <w:sz w:val="20"/>
          <w:szCs w:val="20"/>
        </w:rPr>
        <w:t xml:space="preserve">Τζημάκα, Μ. (2011). </w:t>
      </w:r>
      <w:r w:rsidRPr="00E01C93">
        <w:rPr>
          <w:rFonts w:eastAsia="Calibri" w:cstheme="minorHAnsi"/>
          <w:i/>
          <w:iCs/>
          <w:sz w:val="20"/>
          <w:szCs w:val="20"/>
        </w:rPr>
        <w:t>Αφήγηση Transmedia</w:t>
      </w:r>
      <w:r w:rsidRPr="00E01C93">
        <w:rPr>
          <w:rFonts w:eastAsia="Calibri" w:cstheme="minorHAnsi"/>
          <w:iCs/>
          <w:sz w:val="20"/>
          <w:szCs w:val="20"/>
        </w:rPr>
        <w:t>. (Πτυχιακή εργασία, Αριστοτέλειο Πανεπιστήμιο Θεσσαλονίκης, Τμήμα Ηλεκτρολόγων Μηχανικών και Μηχανικών Η/Υ, Διαπανεπιστημιακό Διατμηματικό Πρόγραμμα Μεταπτυχιακών Σπουδών  στα Προηγμένα Συστήματ</w:t>
      </w:r>
      <w:r>
        <w:rPr>
          <w:rFonts w:eastAsia="Calibri" w:cstheme="minorHAnsi"/>
          <w:iCs/>
          <w:sz w:val="20"/>
          <w:szCs w:val="20"/>
        </w:rPr>
        <w:t>α Υπολογιστών και Επικοινωνιών)</w:t>
      </w:r>
      <w:r w:rsidRPr="00E01C93">
        <w:rPr>
          <w:rFonts w:eastAsia="Calibri" w:cstheme="minorHAnsi"/>
          <w:iCs/>
          <w:sz w:val="20"/>
          <w:szCs w:val="20"/>
        </w:rPr>
        <w:t xml:space="preserve">: </w:t>
      </w:r>
      <w:hyperlink r:id="rId26" w:history="1">
        <w:r w:rsidRPr="00E01C93">
          <w:rPr>
            <w:rFonts w:eastAsia="Calibri" w:cstheme="minorHAnsi"/>
            <w:color w:val="0563C1"/>
            <w:sz w:val="20"/>
            <w:szCs w:val="20"/>
            <w:u w:val="single"/>
          </w:rPr>
          <w:t>http://invenio.lib.auth.gr/record/126000/</w:t>
        </w:r>
      </w:hyperlink>
      <w:r w:rsidRPr="00E01C93">
        <w:rPr>
          <w:rFonts w:eastAsia="Calibri" w:cstheme="minorHAnsi"/>
          <w:iCs/>
          <w:sz w:val="20"/>
          <w:szCs w:val="20"/>
        </w:rPr>
        <w:t>.</w:t>
      </w:r>
    </w:p>
    <w:p w14:paraId="221D82B7" w14:textId="77777777" w:rsidR="006F1A47" w:rsidRPr="00E01C93" w:rsidRDefault="006F1A47" w:rsidP="00D75845">
      <w:pPr>
        <w:jc w:val="both"/>
        <w:rPr>
          <w:rFonts w:eastAsia="Calibri" w:cstheme="minorHAnsi"/>
          <w:sz w:val="20"/>
          <w:szCs w:val="20"/>
        </w:rPr>
      </w:pPr>
      <w:r w:rsidRPr="00E01C93">
        <w:rPr>
          <w:rFonts w:eastAsia="Calibri" w:cstheme="minorHAnsi"/>
          <w:iCs/>
          <w:sz w:val="20"/>
          <w:szCs w:val="20"/>
        </w:rPr>
        <w:t xml:space="preserve">Φώκιαλη, E. (2014). </w:t>
      </w:r>
      <w:r w:rsidRPr="00E01C93">
        <w:rPr>
          <w:rFonts w:eastAsia="Calibri" w:cstheme="minorHAnsi"/>
          <w:i/>
          <w:iCs/>
          <w:sz w:val="20"/>
          <w:szCs w:val="20"/>
        </w:rPr>
        <w:t>H εξέλιξη ενός μυθιστορήματος φαντασίας σε διαμεσική αφήγηση-Έντυπες, οπτικοακουστικές και ψηφιακές επεκτάσεις του Άρχοντα των Δαχτυλιδιών στο τοπίο της σύγκλισης των μέσων</w:t>
      </w:r>
      <w:r w:rsidRPr="00E01C93">
        <w:rPr>
          <w:rFonts w:eastAsia="Calibri" w:cstheme="minorHAnsi"/>
          <w:iCs/>
          <w:sz w:val="20"/>
          <w:szCs w:val="20"/>
        </w:rPr>
        <w:t xml:space="preserve">. (Διδακτορική διατριβή, Εθνικό και  Καποδιστριακό Πανεπιστήμιο Αθηνών, Τμήμα Εκπαίδευσης και Αγωγής στην Προσχολική Ηλικία): </w:t>
      </w:r>
      <w:hyperlink r:id="rId27" w:history="1">
        <w:r w:rsidRPr="00E01C93">
          <w:rPr>
            <w:rFonts w:eastAsia="Calibri" w:cstheme="minorHAnsi"/>
            <w:color w:val="0563C1"/>
            <w:sz w:val="20"/>
            <w:szCs w:val="20"/>
            <w:u w:val="single"/>
          </w:rPr>
          <w:t>http://phdtheses.ekt.gr/eadd/handle/10442/35674</w:t>
        </w:r>
      </w:hyperlink>
      <w:r w:rsidRPr="00E01C93">
        <w:rPr>
          <w:rFonts w:eastAsia="Calibri" w:cstheme="minorHAnsi"/>
          <w:iCs/>
          <w:sz w:val="20"/>
          <w:szCs w:val="20"/>
        </w:rPr>
        <w:t>.</w:t>
      </w:r>
    </w:p>
    <w:p w14:paraId="2B3F1915" w14:textId="06593665" w:rsidR="008279A3" w:rsidRPr="00121C44" w:rsidRDefault="008279A3" w:rsidP="00D75845">
      <w:pPr>
        <w:jc w:val="both"/>
      </w:pPr>
    </w:p>
    <w:sectPr w:rsidR="008279A3" w:rsidRPr="00121C4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D5D87"/>
    <w:multiLevelType w:val="hybridMultilevel"/>
    <w:tmpl w:val="AA24D7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C158FE"/>
    <w:multiLevelType w:val="hybridMultilevel"/>
    <w:tmpl w:val="66761F74"/>
    <w:lvl w:ilvl="0" w:tplc="4BF8DD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C7B16"/>
    <w:multiLevelType w:val="hybridMultilevel"/>
    <w:tmpl w:val="7E7281D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3CDE"/>
    <w:rsid w:val="000163F8"/>
    <w:rsid w:val="00020022"/>
    <w:rsid w:val="00030519"/>
    <w:rsid w:val="00044533"/>
    <w:rsid w:val="000749D1"/>
    <w:rsid w:val="0008201E"/>
    <w:rsid w:val="000968E6"/>
    <w:rsid w:val="000B0254"/>
    <w:rsid w:val="000C1C8E"/>
    <w:rsid w:val="000C3E33"/>
    <w:rsid w:val="00112BF5"/>
    <w:rsid w:val="00115004"/>
    <w:rsid w:val="00115DF6"/>
    <w:rsid w:val="00121C44"/>
    <w:rsid w:val="001229B0"/>
    <w:rsid w:val="00133183"/>
    <w:rsid w:val="00160451"/>
    <w:rsid w:val="00181E11"/>
    <w:rsid w:val="00185335"/>
    <w:rsid w:val="001A09A1"/>
    <w:rsid w:val="001D0E50"/>
    <w:rsid w:val="001E4F1E"/>
    <w:rsid w:val="001F3347"/>
    <w:rsid w:val="002106A5"/>
    <w:rsid w:val="002144F5"/>
    <w:rsid w:val="00233A5C"/>
    <w:rsid w:val="00243061"/>
    <w:rsid w:val="0025279E"/>
    <w:rsid w:val="002633F3"/>
    <w:rsid w:val="00264319"/>
    <w:rsid w:val="002B69B3"/>
    <w:rsid w:val="00326292"/>
    <w:rsid w:val="00350F2A"/>
    <w:rsid w:val="003630F6"/>
    <w:rsid w:val="003A27BE"/>
    <w:rsid w:val="003B7F9F"/>
    <w:rsid w:val="003C0232"/>
    <w:rsid w:val="003D3691"/>
    <w:rsid w:val="003F2D0F"/>
    <w:rsid w:val="00456606"/>
    <w:rsid w:val="00463985"/>
    <w:rsid w:val="00474530"/>
    <w:rsid w:val="004943A4"/>
    <w:rsid w:val="004965C1"/>
    <w:rsid w:val="004A123A"/>
    <w:rsid w:val="004E2150"/>
    <w:rsid w:val="004F1E2E"/>
    <w:rsid w:val="005009D8"/>
    <w:rsid w:val="00517673"/>
    <w:rsid w:val="0053389F"/>
    <w:rsid w:val="00591BD4"/>
    <w:rsid w:val="005D0E61"/>
    <w:rsid w:val="005D2B19"/>
    <w:rsid w:val="005D510C"/>
    <w:rsid w:val="005E4C9D"/>
    <w:rsid w:val="005F3C2A"/>
    <w:rsid w:val="0062568B"/>
    <w:rsid w:val="00626B19"/>
    <w:rsid w:val="00632A07"/>
    <w:rsid w:val="00642F1F"/>
    <w:rsid w:val="0064321B"/>
    <w:rsid w:val="006629FB"/>
    <w:rsid w:val="00665AB4"/>
    <w:rsid w:val="00675EAB"/>
    <w:rsid w:val="00685DF6"/>
    <w:rsid w:val="006A5301"/>
    <w:rsid w:val="006A7097"/>
    <w:rsid w:val="006D2C8C"/>
    <w:rsid w:val="006F1A47"/>
    <w:rsid w:val="007153AA"/>
    <w:rsid w:val="00720858"/>
    <w:rsid w:val="00723431"/>
    <w:rsid w:val="00744B3F"/>
    <w:rsid w:val="007711DD"/>
    <w:rsid w:val="00794566"/>
    <w:rsid w:val="007B4CC7"/>
    <w:rsid w:val="007C7DF7"/>
    <w:rsid w:val="007D0ADE"/>
    <w:rsid w:val="007E3C05"/>
    <w:rsid w:val="007E6D8C"/>
    <w:rsid w:val="00826DE3"/>
    <w:rsid w:val="008279A3"/>
    <w:rsid w:val="00841B82"/>
    <w:rsid w:val="0086025B"/>
    <w:rsid w:val="008A4FF3"/>
    <w:rsid w:val="008F4B04"/>
    <w:rsid w:val="00904145"/>
    <w:rsid w:val="009061DC"/>
    <w:rsid w:val="009318C4"/>
    <w:rsid w:val="00936460"/>
    <w:rsid w:val="009441C2"/>
    <w:rsid w:val="00946283"/>
    <w:rsid w:val="00992B40"/>
    <w:rsid w:val="00992E1D"/>
    <w:rsid w:val="009B3CDE"/>
    <w:rsid w:val="009E050D"/>
    <w:rsid w:val="009E3FE7"/>
    <w:rsid w:val="009F30CF"/>
    <w:rsid w:val="00A035C8"/>
    <w:rsid w:val="00A64893"/>
    <w:rsid w:val="00A85136"/>
    <w:rsid w:val="00A851AE"/>
    <w:rsid w:val="00A97F84"/>
    <w:rsid w:val="00AD2F89"/>
    <w:rsid w:val="00AE1E4A"/>
    <w:rsid w:val="00AF3E63"/>
    <w:rsid w:val="00AF4D3A"/>
    <w:rsid w:val="00B052CD"/>
    <w:rsid w:val="00B42D58"/>
    <w:rsid w:val="00B5409B"/>
    <w:rsid w:val="00B65799"/>
    <w:rsid w:val="00B7783B"/>
    <w:rsid w:val="00B80F33"/>
    <w:rsid w:val="00B84098"/>
    <w:rsid w:val="00BB3F84"/>
    <w:rsid w:val="00BB62B9"/>
    <w:rsid w:val="00BC4208"/>
    <w:rsid w:val="00BF6185"/>
    <w:rsid w:val="00C03245"/>
    <w:rsid w:val="00C03818"/>
    <w:rsid w:val="00C26E57"/>
    <w:rsid w:val="00C64C83"/>
    <w:rsid w:val="00C67D80"/>
    <w:rsid w:val="00C779C4"/>
    <w:rsid w:val="00C9153B"/>
    <w:rsid w:val="00CA1A1D"/>
    <w:rsid w:val="00CB474B"/>
    <w:rsid w:val="00CC6A5A"/>
    <w:rsid w:val="00CD1B5E"/>
    <w:rsid w:val="00CD3140"/>
    <w:rsid w:val="00CE02B2"/>
    <w:rsid w:val="00CF5BF2"/>
    <w:rsid w:val="00CF6D98"/>
    <w:rsid w:val="00D10650"/>
    <w:rsid w:val="00D1633C"/>
    <w:rsid w:val="00D224B7"/>
    <w:rsid w:val="00D360EC"/>
    <w:rsid w:val="00D41102"/>
    <w:rsid w:val="00D513DF"/>
    <w:rsid w:val="00D6059C"/>
    <w:rsid w:val="00D738B5"/>
    <w:rsid w:val="00D75845"/>
    <w:rsid w:val="00D853B6"/>
    <w:rsid w:val="00DA3B84"/>
    <w:rsid w:val="00DA5DF1"/>
    <w:rsid w:val="00DC3DA6"/>
    <w:rsid w:val="00DF27CE"/>
    <w:rsid w:val="00DF5708"/>
    <w:rsid w:val="00DF6B72"/>
    <w:rsid w:val="00E126A5"/>
    <w:rsid w:val="00E2766F"/>
    <w:rsid w:val="00E551DB"/>
    <w:rsid w:val="00E64126"/>
    <w:rsid w:val="00E719CC"/>
    <w:rsid w:val="00E74965"/>
    <w:rsid w:val="00E75601"/>
    <w:rsid w:val="00E94A67"/>
    <w:rsid w:val="00ED2475"/>
    <w:rsid w:val="00F11430"/>
    <w:rsid w:val="00F172D1"/>
    <w:rsid w:val="00F454F6"/>
    <w:rsid w:val="00F553B2"/>
    <w:rsid w:val="00F563BC"/>
    <w:rsid w:val="00F86C96"/>
    <w:rsid w:val="00F93B22"/>
    <w:rsid w:val="00F963B6"/>
    <w:rsid w:val="00FB11B7"/>
    <w:rsid w:val="00FC1BC7"/>
    <w:rsid w:val="00FC76C0"/>
    <w:rsid w:val="00FC78AC"/>
    <w:rsid w:val="00FD6F8A"/>
    <w:rsid w:val="00FE1863"/>
    <w:rsid w:val="00FE2025"/>
    <w:rsid w:val="00FE775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7C1ED"/>
  <w15:docId w15:val="{61AB60FB-6EDE-4FD2-9D19-CA96C63B0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4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49D1"/>
    <w:pPr>
      <w:ind w:left="720"/>
      <w:contextualSpacing/>
    </w:pPr>
  </w:style>
  <w:style w:type="paragraph" w:styleId="BalloonText">
    <w:name w:val="Balloon Text"/>
    <w:basedOn w:val="Normal"/>
    <w:link w:val="BalloonTextChar"/>
    <w:uiPriority w:val="99"/>
    <w:semiHidden/>
    <w:unhideWhenUsed/>
    <w:rsid w:val="00FD6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F8A"/>
    <w:rPr>
      <w:rFonts w:ascii="Tahoma" w:hAnsi="Tahoma" w:cs="Tahoma"/>
      <w:sz w:val="16"/>
      <w:szCs w:val="16"/>
    </w:rPr>
  </w:style>
  <w:style w:type="paragraph" w:styleId="Caption">
    <w:name w:val="caption"/>
    <w:basedOn w:val="Normal"/>
    <w:next w:val="Normal"/>
    <w:uiPriority w:val="35"/>
    <w:unhideWhenUsed/>
    <w:qFormat/>
    <w:rsid w:val="001E4F1E"/>
    <w:pPr>
      <w:spacing w:after="200" w:line="240" w:lineRule="auto"/>
    </w:pPr>
    <w:rPr>
      <w:b/>
      <w:bCs/>
      <w:color w:val="4472C4" w:themeColor="accent1"/>
      <w:sz w:val="18"/>
      <w:szCs w:val="18"/>
    </w:rPr>
  </w:style>
  <w:style w:type="paragraph" w:styleId="NormalWeb">
    <w:name w:val="Normal (Web)"/>
    <w:basedOn w:val="Normal"/>
    <w:uiPriority w:val="99"/>
    <w:unhideWhenUsed/>
    <w:rsid w:val="001D0E50"/>
    <w:pPr>
      <w:spacing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hyperlink" Target="http://henryjenkins.org/2007/03/transmedia_storytelling_101.html" TargetMode="External"/><Relationship Id="rId26" Type="http://schemas.openxmlformats.org/officeDocument/2006/relationships/hyperlink" Target="http://invenio.lib.auth.gr/record/126000/" TargetMode="External"/><Relationship Id="rId3" Type="http://schemas.openxmlformats.org/officeDocument/2006/relationships/settings" Target="settings.xml"/><Relationship Id="rId21" Type="http://schemas.openxmlformats.org/officeDocument/2006/relationships/hyperlink" Target="https://www.flickr.com/groups/participatecreate/pool/tags/crossmedia/" TargetMode="Externa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hyperlink" Target="https://repository.kallipos.gr/handle/11419/5709"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hyperlink" Target="http://www.vtt.fi/inf/julkaisut/muut/2004/crossmedia_entertainment.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s://transmediadesign.wordpress.com/assigments/10-questions/" TargetMode="Externa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hyperlink" Target="http://www.producersguild.org/?page=coc_nm" TargetMode="External"/><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hyperlink" Target="http://henryjenkins.org/2011/08/defining_transmedia_further_re.html"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hyperlink" Target="http://pganmc.blogspot.gr/2007/10/pga-member-jeff-gomez-left-assembled.html" TargetMode="External"/><Relationship Id="rId27" Type="http://schemas.openxmlformats.org/officeDocument/2006/relationships/hyperlink" Target="http://phdtheses.ekt.gr/eadd/handle/10442/35674"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4501</Words>
  <Characters>25657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Επισκέπτης</dc:creator>
  <cp:lastModifiedBy>user</cp:lastModifiedBy>
  <cp:revision>3</cp:revision>
  <dcterms:created xsi:type="dcterms:W3CDTF">2021-02-22T09:01:00Z</dcterms:created>
  <dcterms:modified xsi:type="dcterms:W3CDTF">2021-02-22T09:07:00Z</dcterms:modified>
</cp:coreProperties>
</file>