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20" w:rsidRPr="00120ABD" w:rsidRDefault="00092F20" w:rsidP="00120ABD">
      <w:pPr>
        <w:keepNext/>
        <w:keepLines/>
      </w:pPr>
      <w:r>
        <w:t>ΙΟΥΝΙΟ</w:t>
      </w:r>
      <w:r>
        <w:rPr>
          <w:lang w:val="en-US"/>
        </w:rPr>
        <w:t>S</w:t>
      </w:r>
      <w:r>
        <w:t xml:space="preserve"> 2018</w:t>
      </w:r>
      <w:r w:rsidR="00120ABD">
        <w:t xml:space="preserve"> </w:t>
      </w:r>
      <w:r>
        <w:t xml:space="preserve">ΛΥΣΕΙΣ ΘΕΜΑΤΑΩΝ ΔΙΟΙΚΗΣΗ </w:t>
      </w:r>
      <w:r>
        <w:rPr>
          <w:lang w:val="en-US"/>
        </w:rPr>
        <w:t>LOGISTICS</w:t>
      </w:r>
    </w:p>
    <w:p w:rsidR="00120ABD" w:rsidRDefault="00120ABD" w:rsidP="00A66808">
      <w:pPr>
        <w:pStyle w:val="1"/>
      </w:pPr>
      <w:r>
        <w:t>ΚΕΦΑΛΑΙΟ 2</w:t>
      </w:r>
      <w:r w:rsidRPr="00120ABD">
        <w:rPr>
          <w:vertAlign w:val="superscript"/>
        </w:rPr>
        <w:t>Ο</w:t>
      </w:r>
      <w:r>
        <w:t xml:space="preserve"> ΑΣΚΗΣΗ </w:t>
      </w:r>
    </w:p>
    <w:p w:rsidR="00120ABD" w:rsidRDefault="00120ABD" w:rsidP="00120ABD">
      <w:pPr>
        <w:keepNext/>
        <w:keepLines/>
      </w:pPr>
      <w:r>
        <w:rPr>
          <w:noProof/>
          <w:lang w:eastAsia="el-GR"/>
        </w:rPr>
        <w:drawing>
          <wp:inline distT="0" distB="0" distL="0" distR="0">
            <wp:extent cx="5267325" cy="48672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ABD" w:rsidRDefault="00120ABD" w:rsidP="00120ABD">
      <w:pPr>
        <w:keepNext/>
        <w:keepLines/>
      </w:pPr>
      <w:r>
        <w:rPr>
          <w:noProof/>
          <w:lang w:eastAsia="el-GR"/>
        </w:rPr>
        <w:lastRenderedPageBreak/>
        <w:drawing>
          <wp:inline distT="0" distB="0" distL="0" distR="0">
            <wp:extent cx="4524375" cy="457200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ABD" w:rsidRDefault="00120ABD">
      <w:r>
        <w:br w:type="page"/>
      </w:r>
    </w:p>
    <w:p w:rsidR="00120ABD" w:rsidRDefault="00120ABD" w:rsidP="00A66808">
      <w:pPr>
        <w:pStyle w:val="1"/>
      </w:pPr>
      <w:r>
        <w:lastRenderedPageBreak/>
        <w:t xml:space="preserve">ΚΕΦΑΛΑΙΟ </w:t>
      </w:r>
      <w:r w:rsidR="00832F60">
        <w:rPr>
          <w:lang w:val="en-US"/>
        </w:rPr>
        <w:t>5</w:t>
      </w:r>
      <w:r w:rsidRPr="00120ABD">
        <w:rPr>
          <w:vertAlign w:val="superscript"/>
        </w:rPr>
        <w:t>Ο</w:t>
      </w:r>
      <w:r>
        <w:t xml:space="preserve"> ΑΣΚΗΣΗ </w:t>
      </w:r>
      <w:bookmarkStart w:id="0" w:name="_GoBack"/>
      <w:bookmarkEnd w:id="0"/>
    </w:p>
    <w:p w:rsidR="00120ABD" w:rsidRDefault="00120ABD" w:rsidP="00A66808">
      <w:pPr>
        <w:pStyle w:val="2"/>
      </w:pPr>
      <w:r>
        <w:t>ΣΕΝΑΡΙΟ 1</w:t>
      </w:r>
    </w:p>
    <w:tbl>
      <w:tblPr>
        <w:tblW w:w="10130" w:type="dxa"/>
        <w:tblInd w:w="-426" w:type="dxa"/>
        <w:tblLook w:val="04A0" w:firstRow="1" w:lastRow="0" w:firstColumn="1" w:lastColumn="0" w:noHBand="0" w:noVBand="1"/>
      </w:tblPr>
      <w:tblGrid>
        <w:gridCol w:w="1217"/>
        <w:gridCol w:w="1051"/>
        <w:gridCol w:w="960"/>
        <w:gridCol w:w="91"/>
        <w:gridCol w:w="869"/>
        <w:gridCol w:w="91"/>
        <w:gridCol w:w="960"/>
        <w:gridCol w:w="960"/>
        <w:gridCol w:w="91"/>
        <w:gridCol w:w="869"/>
        <w:gridCol w:w="91"/>
        <w:gridCol w:w="960"/>
        <w:gridCol w:w="960"/>
        <w:gridCol w:w="960"/>
      </w:tblGrid>
      <w:tr w:rsidR="00120ABD" w:rsidRPr="00120ABD" w:rsidTr="00F3595F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20ABD" w:rsidRPr="00120ABD" w:rsidTr="00F3595F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Λιανοπωλητής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Εισαγωγική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20ABD" w:rsidRPr="00120ABD" w:rsidTr="00F3595F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Request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RANGE!C13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12000</w:t>
            </w:r>
            <w:bookmarkEnd w:id="1"/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μηνιαία ζήτηση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20ABD" w:rsidRPr="00120ABD" w:rsidTr="00F3595F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Cost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2" w:name="RANGE!C14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  <w:bookmarkEnd w:id="2"/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ευρώ ανά μονάδα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20ABD" w:rsidRPr="00120ABD" w:rsidTr="00F3595F">
        <w:trPr>
          <w:gridAfter w:val="2"/>
          <w:wAfter w:w="1920" w:type="dxa"/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3" w:name="RANGE!C15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1000</w:t>
            </w:r>
            <w:bookmarkEnd w:id="3"/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20ABD" w:rsidRPr="00120ABD" w:rsidTr="00F3595F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4" w:name="RANGE!C16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20%</w:t>
            </w:r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20ABD" w:rsidRPr="00120ABD" w:rsidTr="00F3595F">
        <w:trPr>
          <w:gridAfter w:val="2"/>
          <w:wAfter w:w="1920" w:type="dxa"/>
          <w:trHeight w:val="51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Holding</w:t>
            </w:r>
            <w:proofErr w:type="spellEnd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Cost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5" w:name="RANGE!C17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  <w:bookmarkEnd w:id="5"/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20ABD" w:rsidRPr="00120ABD" w:rsidTr="00F3595F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j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20ABD" w:rsidRPr="00120ABD" w:rsidTr="00F3595F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Q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6" w:name="RANGE!C19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2190,89</w:t>
            </w:r>
            <w:bookmarkEnd w:id="6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μονάδες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10954,45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Q2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20ABD" w:rsidRPr="00120ABD" w:rsidTr="00F3595F">
        <w:trPr>
          <w:trHeight w:val="51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Cycle</w:t>
            </w:r>
            <w:proofErr w:type="spellEnd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Inventory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1095,445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μονάδες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4381,78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20ABD" w:rsidRPr="00120ABD" w:rsidTr="00F3595F">
        <w:trPr>
          <w:trHeight w:val="51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Mean</w:t>
            </w:r>
            <w:proofErr w:type="spellEnd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Flow</w:t>
            </w:r>
            <w:proofErr w:type="spellEnd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Time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2,373464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εργάσιμες ημέρες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20ABD" w:rsidRPr="00120ABD" w:rsidTr="00F3595F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5,477226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παραγγελίες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20ABD" w:rsidRPr="00120ABD" w:rsidTr="00F3595F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4,564355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εργάσιμες ημέρες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20ABD" w:rsidRPr="00120ABD" w:rsidTr="00F3595F">
        <w:trPr>
          <w:trHeight w:val="51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Purchasing</w:t>
            </w:r>
            <w:proofErr w:type="spellEnd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Cost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20ABD" w:rsidRPr="00120ABD" w:rsidTr="00F3595F">
        <w:trPr>
          <w:trHeight w:val="51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Holding</w:t>
            </w:r>
            <w:proofErr w:type="spellEnd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Cost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5477,226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17527,12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20ABD" w:rsidRPr="00832F60" w:rsidTr="00F3595F">
        <w:trPr>
          <w:trHeight w:val="51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Ordering</w:t>
            </w:r>
            <w:proofErr w:type="spellEnd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Cost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5477,226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21908,9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120ABD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Total Cost of Supply Chain</w:t>
            </w:r>
          </w:p>
        </w:tc>
      </w:tr>
      <w:tr w:rsidR="00120ABD" w:rsidRPr="00120ABD" w:rsidTr="00F3595F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Total</w:t>
            </w:r>
            <w:proofErr w:type="spellEnd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20A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Cost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10954,45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39436,02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120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50390,48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20ABD" w:rsidRPr="00120ABD" w:rsidTr="00F3595F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ABD" w:rsidRPr="00120ABD" w:rsidRDefault="00120ABD" w:rsidP="00120AB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120ABD" w:rsidRDefault="00120ABD" w:rsidP="00120ABD">
      <w:pPr>
        <w:keepNext/>
        <w:keepLines/>
      </w:pPr>
    </w:p>
    <w:p w:rsidR="00F3595F" w:rsidRPr="00832F60" w:rsidRDefault="00F3595F" w:rsidP="00A66808">
      <w:pPr>
        <w:pStyle w:val="2"/>
        <w:rPr>
          <w:lang w:val="en-US"/>
        </w:rPr>
      </w:pPr>
      <w:r>
        <w:t xml:space="preserve">ΣΕΝΑΡΙΟ </w:t>
      </w:r>
      <w:r w:rsidR="00832F60">
        <w:rPr>
          <w:lang w:val="en-US"/>
        </w:rPr>
        <w:t>2</w:t>
      </w:r>
    </w:p>
    <w:tbl>
      <w:tblPr>
        <w:tblW w:w="6144" w:type="dxa"/>
        <w:tblLook w:val="04A0" w:firstRow="1" w:lastRow="0" w:firstColumn="1" w:lastColumn="0" w:noHBand="0" w:noVBand="1"/>
      </w:tblPr>
      <w:tblGrid>
        <w:gridCol w:w="1276"/>
        <w:gridCol w:w="1051"/>
        <w:gridCol w:w="910"/>
        <w:gridCol w:w="1051"/>
        <w:gridCol w:w="976"/>
        <w:gridCol w:w="1128"/>
      </w:tblGrid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7" w:name="RANGE!C2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12000</w:t>
            </w:r>
            <w:bookmarkEnd w:id="7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Retailer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Eisagogiki</w:t>
            </w:r>
            <w:proofErr w:type="spellEnd"/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Holding</w:t>
            </w:r>
            <w:proofErr w:type="spellEnd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8" w:name="RANGE!C3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  <w:bookmarkEnd w:id="8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Holding</w:t>
            </w:r>
            <w:proofErr w:type="spellEnd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9" w:name="RANGE!C4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  <w:bookmarkEnd w:id="9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Standard 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0" w:name="RANGE!C5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20000</w:t>
            </w:r>
            <w:bookmarkEnd w:id="10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Standard 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1" w:name="RANGE!C6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1000</w:t>
            </w:r>
            <w:bookmarkEnd w:id="11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2" w:name="RANGE!C9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2,236068</w:t>
            </w:r>
            <w:bookmarkEnd w:id="12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Q1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3" w:name="RANGE!C11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4898,979</w:t>
            </w:r>
            <w:bookmarkEnd w:id="13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Q2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4" w:name="RANGE!C12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10954,45</w:t>
            </w:r>
            <w:bookmarkEnd w:id="14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95F" w:rsidRPr="00F3595F" w:rsidTr="00F3595F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Holding</w:t>
            </w:r>
            <w:proofErr w:type="spellEnd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Cost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24358,39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12247,45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12110,94</w:t>
            </w:r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95F" w:rsidRPr="00F3595F" w:rsidTr="00F3595F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Ordering</w:t>
            </w:r>
            <w:proofErr w:type="spellEnd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Cost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24358,39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2449,49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21908,9</w:t>
            </w:r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Total</w:t>
            </w:r>
            <w:proofErr w:type="spellEnd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Cost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48716,78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14696,94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34019,85</w:t>
            </w:r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Kerdos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1673,691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Μηνιαίο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-25%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16%</w:t>
            </w:r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3,44%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95F" w:rsidRPr="00F3595F" w:rsidTr="00F3595F">
        <w:trPr>
          <w:trHeight w:val="5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Annual</w:t>
            </w:r>
            <w:proofErr w:type="spellEnd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Profit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3595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20084,29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595F" w:rsidRPr="00F3595F" w:rsidTr="00F3595F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5F" w:rsidRPr="00F3595F" w:rsidRDefault="00F3595F" w:rsidP="00F3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F3595F" w:rsidRDefault="00F3595F" w:rsidP="00120ABD">
      <w:pPr>
        <w:keepNext/>
        <w:keepLines/>
      </w:pPr>
    </w:p>
    <w:p w:rsidR="00E20892" w:rsidRDefault="00E20892" w:rsidP="00A66808">
      <w:pPr>
        <w:pStyle w:val="1"/>
      </w:pPr>
      <w:r>
        <w:t xml:space="preserve">ΚΕΦΑΛΑΙΟ </w:t>
      </w:r>
      <w:r w:rsidR="00A66808">
        <w:t>7</w:t>
      </w:r>
      <w:r w:rsidRPr="00120ABD">
        <w:rPr>
          <w:vertAlign w:val="superscript"/>
        </w:rPr>
        <w:t>Ο</w:t>
      </w:r>
      <w:r>
        <w:t xml:space="preserve"> ΑΣΚΗΣΗ </w:t>
      </w:r>
    </w:p>
    <w:p w:rsidR="00E20892" w:rsidRDefault="00E20892" w:rsidP="00E20892">
      <w:pPr>
        <w:keepNext/>
        <w:keepLines/>
      </w:pPr>
      <w:r>
        <w:t xml:space="preserve">Επειδή η αποδοχή μιας προσφοράς, επηρεάζει το μέσο απόθεμα, το απόθεμα ασφαλείας και το απόθεμα που βρίσκεται σε μεταφορά, η διοίκηση της </w:t>
      </w:r>
      <w:r>
        <w:rPr>
          <w:lang w:val="en-US"/>
        </w:rPr>
        <w:t>Eastern</w:t>
      </w:r>
      <w:r>
        <w:t xml:space="preserve"> </w:t>
      </w:r>
      <w:r>
        <w:rPr>
          <w:lang w:val="en-US"/>
        </w:rPr>
        <w:t>Electric</w:t>
      </w:r>
      <w:r>
        <w:t xml:space="preserve"> θα αποφασίσει με βάση το συνολικό κόστος της εφοδιαστικής αλυσίδας, συνυπολογίζοντας δηλαδή και το κόστος των αποθεμάτων και όχι μόνο το κόστος των μεταφορών. Ο συντελεστής του κόστους διατήρησης αποθεμάτων για την </w:t>
      </w:r>
      <w:r>
        <w:rPr>
          <w:lang w:val="en-US"/>
        </w:rPr>
        <w:t>Eastern</w:t>
      </w:r>
      <w:r>
        <w:t xml:space="preserve"> </w:t>
      </w:r>
      <w:r>
        <w:rPr>
          <w:lang w:val="en-US"/>
        </w:rPr>
        <w:t>Electric</w:t>
      </w:r>
      <w:r>
        <w:t xml:space="preserve"> είναι 25%, που συνεπάγεται σε ετήσιο κόστος διατήρησης των αποθεμάτων Η = $ 120 </w:t>
      </w:r>
      <w:r>
        <w:rPr>
          <w:lang w:val="en-US"/>
        </w:rPr>
        <w:t>x</w:t>
      </w:r>
      <w:r>
        <w:t xml:space="preserve"> 0,25 = $ 30 ανά μοτέρ. Οι σιδηροδρομικές αποστολές (</w:t>
      </w:r>
      <w:r>
        <w:rPr>
          <w:lang w:val="en-US"/>
        </w:rPr>
        <w:t>AM</w:t>
      </w:r>
      <w:r>
        <w:t xml:space="preserve"> </w:t>
      </w:r>
      <w:r>
        <w:rPr>
          <w:lang w:val="en-US"/>
        </w:rPr>
        <w:t>Railroad</w:t>
      </w:r>
      <w:r>
        <w:t>) έχουν χρόνο μεταφοράς 5 ημερών, ενώ οι οδικές (όλες οι υπόλοιπες) έχουν διάρκεια 3 ημερών.</w:t>
      </w:r>
    </w:p>
    <w:p w:rsidR="00E20892" w:rsidRDefault="00E20892" w:rsidP="00E20892">
      <w:pPr>
        <w:spacing w:after="0" w:line="240" w:lineRule="auto"/>
        <w:jc w:val="both"/>
      </w:pPr>
      <w:r>
        <w:t xml:space="preserve">Για την προσφορά της </w:t>
      </w:r>
      <w:r>
        <w:rPr>
          <w:lang w:val="en-US"/>
        </w:rPr>
        <w:t>AM</w:t>
      </w:r>
      <w:r>
        <w:t xml:space="preserve"> </w:t>
      </w:r>
      <w:r>
        <w:rPr>
          <w:lang w:val="en-US"/>
        </w:rPr>
        <w:t>Railroad</w:t>
      </w:r>
      <w:r>
        <w:t xml:space="preserve"> υπολογίζονται τα εξής στοιχεία:</w:t>
      </w:r>
    </w:p>
    <w:p w:rsidR="00E20892" w:rsidRDefault="00E20892" w:rsidP="00E20892">
      <w:pPr>
        <w:spacing w:after="0" w:line="240" w:lineRule="auto"/>
        <w:jc w:val="both"/>
      </w:pPr>
      <w:r>
        <w:t xml:space="preserve">Ελάχιστο φορτίο μεταφοράς = </w:t>
      </w:r>
      <w:smartTag w:uri="urn:schemas-microsoft-com:office:smarttags" w:element="metricconverter">
        <w:smartTagPr>
          <w:attr w:name="ProductID" w:val="20.000 pounds"/>
        </w:smartTagPr>
        <w:r>
          <w:t xml:space="preserve">20.000 </w:t>
        </w:r>
        <w:r>
          <w:rPr>
            <w:lang w:val="en-US"/>
          </w:rPr>
          <w:t>pounds</w:t>
        </w:r>
      </w:smartTag>
      <w:r>
        <w:t xml:space="preserve"> δηλαδή </w:t>
      </w:r>
      <w:r>
        <w:rPr>
          <w:lang w:val="en-US"/>
        </w:rPr>
        <w:t>Q</w:t>
      </w:r>
      <w:r>
        <w:t xml:space="preserve"> = 2.000 μοτέρ</w:t>
      </w:r>
    </w:p>
    <w:p w:rsidR="00E20892" w:rsidRDefault="00E20892" w:rsidP="00E20892">
      <w:pPr>
        <w:spacing w:after="0" w:line="240" w:lineRule="auto"/>
        <w:jc w:val="both"/>
      </w:pPr>
      <w:r>
        <w:t>Χρόνος αναπλήρωσης αποθέματος (</w:t>
      </w:r>
      <w:r>
        <w:rPr>
          <w:lang w:val="en-US"/>
        </w:rPr>
        <w:t>Lead</w:t>
      </w:r>
      <w:r>
        <w:t xml:space="preserve"> </w:t>
      </w:r>
      <w:r>
        <w:rPr>
          <w:lang w:val="en-US"/>
        </w:rPr>
        <w:t>time</w:t>
      </w:r>
      <w:r>
        <w:t xml:space="preserve">) </w:t>
      </w:r>
      <w:r>
        <w:rPr>
          <w:lang w:val="en-US"/>
        </w:rPr>
        <w:t>L</w:t>
      </w:r>
      <w:r>
        <w:t xml:space="preserve"> = 5 + 1 = 6 ημέρες</w:t>
      </w:r>
    </w:p>
    <w:p w:rsidR="00E20892" w:rsidRDefault="00E20892" w:rsidP="00E20892">
      <w:pPr>
        <w:spacing w:after="0" w:line="240" w:lineRule="auto"/>
        <w:jc w:val="both"/>
      </w:pPr>
      <w:r>
        <w:t>Επομένως για την μικρότερη επιτρεπτή παρτίδα έχουμε:</w:t>
      </w:r>
    </w:p>
    <w:p w:rsidR="00E20892" w:rsidRDefault="00E20892" w:rsidP="00E20892">
      <w:pPr>
        <w:spacing w:after="0" w:line="240" w:lineRule="auto"/>
        <w:jc w:val="both"/>
      </w:pPr>
      <w:r>
        <w:t xml:space="preserve">Μέσο απόθεμα = </w:t>
      </w:r>
      <w:r>
        <w:rPr>
          <w:lang w:val="en-US"/>
        </w:rPr>
        <w:t>Q</w:t>
      </w:r>
      <w:r>
        <w:t>/2 = 2000/2 = 1000 μοτέρ</w:t>
      </w:r>
    </w:p>
    <w:p w:rsidR="00E20892" w:rsidRDefault="00E20892" w:rsidP="00E20892">
      <w:pPr>
        <w:spacing w:after="0" w:line="240" w:lineRule="auto"/>
        <w:jc w:val="both"/>
      </w:pPr>
      <w:r>
        <w:t xml:space="preserve">Απόθεμα ασφαλείας = </w:t>
      </w:r>
      <w:r>
        <w:rPr>
          <w:lang w:val="en-US"/>
        </w:rPr>
        <w:t>L</w:t>
      </w:r>
      <w:r>
        <w:t xml:space="preserve">/2 </w:t>
      </w:r>
      <w:r>
        <w:rPr>
          <w:lang w:val="en-US"/>
        </w:rPr>
        <w:t>x</w:t>
      </w:r>
      <w:r>
        <w:t xml:space="preserve"> (ημερήσια ζήτηση) = 6/2 </w:t>
      </w:r>
      <w:r>
        <w:rPr>
          <w:lang w:val="en-US"/>
        </w:rPr>
        <w:t>x</w:t>
      </w:r>
      <w:r>
        <w:t xml:space="preserve"> 120.000/365       = 986 μοτέρ</w:t>
      </w:r>
    </w:p>
    <w:p w:rsidR="00E20892" w:rsidRDefault="00E20892" w:rsidP="00E20892">
      <w:pPr>
        <w:spacing w:after="0" w:line="240" w:lineRule="auto"/>
        <w:jc w:val="both"/>
      </w:pPr>
      <w:r>
        <w:t xml:space="preserve">Απόθεμα σε μεταφορά = 120.000 </w:t>
      </w:r>
      <w:r>
        <w:rPr>
          <w:lang w:val="en-US"/>
        </w:rPr>
        <w:t>x</w:t>
      </w:r>
      <w:r>
        <w:t xml:space="preserve"> (5/365) = 1.644 μοτέρ</w:t>
      </w:r>
    </w:p>
    <w:p w:rsidR="00E20892" w:rsidRDefault="00E20892" w:rsidP="00E20892">
      <w:pPr>
        <w:spacing w:after="0" w:line="240" w:lineRule="auto"/>
        <w:jc w:val="both"/>
      </w:pPr>
      <w:r>
        <w:t>Συνολικό απόθεμα = 1000 + 986 + 1644 = 3630 μοτέρ</w:t>
      </w:r>
    </w:p>
    <w:p w:rsidR="00E20892" w:rsidRDefault="00E20892" w:rsidP="00E20892">
      <w:pPr>
        <w:spacing w:after="0" w:line="240" w:lineRule="auto"/>
        <w:jc w:val="both"/>
      </w:pPr>
      <w:r>
        <w:t xml:space="preserve">Συνολικό κόστος διατήρησης αποθεμάτων = 3.630 </w:t>
      </w:r>
      <w:r>
        <w:rPr>
          <w:lang w:val="en-US"/>
        </w:rPr>
        <w:t>x</w:t>
      </w:r>
      <w:r>
        <w:t xml:space="preserve"> $ 30 = $ 108.900</w:t>
      </w:r>
    </w:p>
    <w:p w:rsidR="00E20892" w:rsidRDefault="00E20892" w:rsidP="00E20892">
      <w:pPr>
        <w:spacing w:after="0" w:line="240" w:lineRule="auto"/>
        <w:ind w:firstLine="720"/>
        <w:jc w:val="both"/>
      </w:pPr>
      <w:r>
        <w:t xml:space="preserve">Η </w:t>
      </w:r>
      <w:r>
        <w:rPr>
          <w:lang w:val="en-US"/>
        </w:rPr>
        <w:t>AM</w:t>
      </w:r>
      <w:r>
        <w:t xml:space="preserve"> </w:t>
      </w:r>
      <w:r>
        <w:rPr>
          <w:lang w:val="en-US"/>
        </w:rPr>
        <w:t>Railroad</w:t>
      </w:r>
      <w:r>
        <w:t xml:space="preserve"> χρεώνει την μεταφορά </w:t>
      </w:r>
      <w:smartTag w:uri="urn:schemas-microsoft-com:office:smarttags" w:element="metricconverter">
        <w:smartTagPr>
          <w:attr w:name="ProductID" w:val="100 pounds"/>
        </w:smartTagPr>
        <w:r>
          <w:t xml:space="preserve">100 </w:t>
        </w:r>
        <w:r>
          <w:rPr>
            <w:lang w:val="en-US"/>
          </w:rPr>
          <w:t>pounds</w:t>
        </w:r>
      </w:smartTag>
      <w:r>
        <w:t xml:space="preserve"> με $ 6,50 που συνεπάγεται με κόστος μεταφοράς ενός μοτέρ = $ 0,65 (κάθε μοτέρ ζυγίζει </w:t>
      </w:r>
      <w:smartTag w:uri="urn:schemas-microsoft-com:office:smarttags" w:element="metricconverter">
        <w:smartTagPr>
          <w:attr w:name="ProductID" w:val="10 pounds"/>
        </w:smartTagPr>
        <w:r>
          <w:t xml:space="preserve">10 </w:t>
        </w:r>
        <w:r>
          <w:rPr>
            <w:lang w:val="en-US"/>
          </w:rPr>
          <w:t>pounds</w:t>
        </w:r>
      </w:smartTag>
      <w:r>
        <w:t xml:space="preserve">). Συνεπώς το ετήσιο κόστος μεταφοράς με την </w:t>
      </w:r>
      <w:r>
        <w:rPr>
          <w:lang w:val="en-US"/>
        </w:rPr>
        <w:t>AM</w:t>
      </w:r>
      <w:r>
        <w:t xml:space="preserve"> </w:t>
      </w:r>
      <w:r>
        <w:rPr>
          <w:lang w:val="en-US"/>
        </w:rPr>
        <w:t>Railroad</w:t>
      </w:r>
      <w:r>
        <w:t xml:space="preserve"> είναι 120.000 </w:t>
      </w:r>
      <w:r>
        <w:rPr>
          <w:lang w:val="en-US"/>
        </w:rPr>
        <w:t>x</w:t>
      </w:r>
      <w:r>
        <w:t xml:space="preserve">  $ 0,65 = $ 78.000.</w:t>
      </w:r>
    </w:p>
    <w:p w:rsidR="00E20892" w:rsidRDefault="00E20892" w:rsidP="00E20892">
      <w:pPr>
        <w:keepNext/>
        <w:keepLines/>
        <w:spacing w:after="0" w:line="240" w:lineRule="auto"/>
      </w:pPr>
      <w:r>
        <w:tab/>
        <w:t xml:space="preserve">Η διοίκηση της </w:t>
      </w:r>
      <w:r>
        <w:rPr>
          <w:lang w:val="en-US"/>
        </w:rPr>
        <w:t>Eastern</w:t>
      </w:r>
      <w:r>
        <w:t xml:space="preserve"> </w:t>
      </w:r>
      <w:r>
        <w:rPr>
          <w:lang w:val="en-US"/>
        </w:rPr>
        <w:t>Electric</w:t>
      </w:r>
      <w:r>
        <w:t xml:space="preserve"> κατά τον ίδιο τρόπο υπολογίζει το κόστος που προκύπτει από κάθε προσφορά και τα αποτελέσματα των υπολογισμών παρουσιάζονται στον πίνακα</w:t>
      </w:r>
    </w:p>
    <w:tbl>
      <w:tblPr>
        <w:tblW w:w="0" w:type="auto"/>
        <w:jc w:val="center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370"/>
        <w:gridCol w:w="1008"/>
        <w:gridCol w:w="1193"/>
        <w:gridCol w:w="986"/>
        <w:gridCol w:w="1157"/>
        <w:gridCol w:w="1103"/>
        <w:gridCol w:w="1272"/>
        <w:gridCol w:w="1235"/>
      </w:tblGrid>
      <w:tr w:rsidR="00E20892" w:rsidRPr="005F49D3" w:rsidTr="00F47FE5">
        <w:trPr>
          <w:trHeight w:val="567"/>
          <w:jc w:val="center"/>
        </w:trPr>
        <w:tc>
          <w:tcPr>
            <w:tcW w:w="9324" w:type="dxa"/>
            <w:gridSpan w:val="8"/>
            <w:tcBorders>
              <w:bottom w:val="nil"/>
            </w:tcBorders>
            <w:vAlign w:val="center"/>
          </w:tcPr>
          <w:p w:rsidR="00E20892" w:rsidRPr="005F49D3" w:rsidRDefault="00E20892" w:rsidP="00F47FE5">
            <w:pPr>
              <w:spacing w:line="360" w:lineRule="auto"/>
              <w:jc w:val="center"/>
            </w:pPr>
            <w:r w:rsidRPr="005F49D3">
              <w:t xml:space="preserve">Ανάλυση προσφορών από την διοίκηση της </w:t>
            </w:r>
            <w:r w:rsidRPr="005F49D3">
              <w:rPr>
                <w:lang w:val="en-US"/>
              </w:rPr>
              <w:t>Eastern</w:t>
            </w:r>
            <w:r w:rsidRPr="005F49D3">
              <w:t xml:space="preserve"> </w:t>
            </w:r>
            <w:r w:rsidRPr="005F49D3">
              <w:rPr>
                <w:lang w:val="en-US"/>
              </w:rPr>
              <w:t>Electric</w:t>
            </w:r>
          </w:p>
        </w:tc>
      </w:tr>
      <w:tr w:rsidR="00E20892" w:rsidRPr="00FE508E" w:rsidTr="00F47FE5">
        <w:trPr>
          <w:jc w:val="center"/>
        </w:trPr>
        <w:tc>
          <w:tcPr>
            <w:tcW w:w="13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Pr="00FE508E" w:rsidRDefault="00E20892" w:rsidP="00F47FE5">
            <w:pPr>
              <w:spacing w:line="360" w:lineRule="auto"/>
              <w:jc w:val="center"/>
            </w:pPr>
            <w:r w:rsidRPr="00FE508E">
              <w:t>Παρτίδες σε μοτέρ</w:t>
            </w:r>
          </w:p>
        </w:tc>
        <w:tc>
          <w:tcPr>
            <w:tcW w:w="11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Pr="00FE508E" w:rsidRDefault="00E20892" w:rsidP="00F47FE5">
            <w:pPr>
              <w:spacing w:line="360" w:lineRule="auto"/>
              <w:jc w:val="center"/>
            </w:pPr>
            <w:r w:rsidRPr="00FE508E">
              <w:t>Κόστος μεταφοράς</w:t>
            </w:r>
          </w:p>
        </w:tc>
        <w:tc>
          <w:tcPr>
            <w:tcW w:w="9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Pr="00FE508E" w:rsidRDefault="00E20892" w:rsidP="00F47FE5">
            <w:pPr>
              <w:spacing w:line="360" w:lineRule="auto"/>
              <w:jc w:val="center"/>
            </w:pPr>
            <w:r w:rsidRPr="00FE508E">
              <w:t>Μέσο απόθεμα</w:t>
            </w:r>
          </w:p>
        </w:tc>
        <w:tc>
          <w:tcPr>
            <w:tcW w:w="11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Pr="00FE508E" w:rsidRDefault="00E20892" w:rsidP="00F47FE5">
            <w:pPr>
              <w:spacing w:line="360" w:lineRule="auto"/>
              <w:jc w:val="center"/>
            </w:pPr>
            <w:r w:rsidRPr="00FE508E">
              <w:t>Απόθεμα ασφαλείας</w:t>
            </w:r>
          </w:p>
        </w:tc>
        <w:tc>
          <w:tcPr>
            <w:tcW w:w="11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Pr="00FE508E" w:rsidRDefault="00E20892" w:rsidP="00F47FE5">
            <w:pPr>
              <w:spacing w:line="360" w:lineRule="auto"/>
              <w:jc w:val="center"/>
            </w:pPr>
            <w:r w:rsidRPr="00FE508E">
              <w:t>Απόθεμα σε μεταφορά</w:t>
            </w:r>
          </w:p>
        </w:tc>
        <w:tc>
          <w:tcPr>
            <w:tcW w:w="12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Pr="00FE508E" w:rsidRDefault="00E20892" w:rsidP="00F47FE5">
            <w:pPr>
              <w:spacing w:line="360" w:lineRule="auto"/>
              <w:jc w:val="center"/>
            </w:pPr>
            <w:r w:rsidRPr="00FE508E">
              <w:t>Κόστος αποθέματος</w:t>
            </w:r>
          </w:p>
        </w:tc>
        <w:tc>
          <w:tcPr>
            <w:tcW w:w="12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Pr="00FE508E" w:rsidRDefault="00E20892" w:rsidP="00F47FE5">
            <w:pPr>
              <w:spacing w:line="360" w:lineRule="auto"/>
              <w:jc w:val="center"/>
            </w:pPr>
            <w:r w:rsidRPr="00FE508E">
              <w:t>Συνολικό κόστος</w:t>
            </w:r>
          </w:p>
        </w:tc>
      </w:tr>
      <w:tr w:rsidR="00E20892" w:rsidTr="00F47FE5">
        <w:trPr>
          <w:jc w:val="center"/>
        </w:trPr>
        <w:tc>
          <w:tcPr>
            <w:tcW w:w="13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AM Railroad</w:t>
            </w:r>
          </w:p>
        </w:tc>
        <w:tc>
          <w:tcPr>
            <w:tcW w:w="10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2.000</w:t>
            </w:r>
          </w:p>
        </w:tc>
        <w:tc>
          <w:tcPr>
            <w:tcW w:w="11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$ 78.000</w:t>
            </w:r>
          </w:p>
        </w:tc>
        <w:tc>
          <w:tcPr>
            <w:tcW w:w="9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1.000</w:t>
            </w:r>
          </w:p>
        </w:tc>
        <w:tc>
          <w:tcPr>
            <w:tcW w:w="11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986</w:t>
            </w:r>
          </w:p>
        </w:tc>
        <w:tc>
          <w:tcPr>
            <w:tcW w:w="11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1.644</w:t>
            </w:r>
          </w:p>
        </w:tc>
        <w:tc>
          <w:tcPr>
            <w:tcW w:w="12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$ 108.900</w:t>
            </w:r>
          </w:p>
        </w:tc>
        <w:tc>
          <w:tcPr>
            <w:tcW w:w="12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$ 186.900</w:t>
            </w:r>
          </w:p>
        </w:tc>
      </w:tr>
      <w:tr w:rsidR="00E20892" w:rsidTr="00F47FE5">
        <w:trPr>
          <w:jc w:val="center"/>
        </w:trPr>
        <w:tc>
          <w:tcPr>
            <w:tcW w:w="13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Northeast Trucking</w:t>
            </w:r>
          </w:p>
        </w:tc>
        <w:tc>
          <w:tcPr>
            <w:tcW w:w="10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1.000</w:t>
            </w:r>
          </w:p>
        </w:tc>
        <w:tc>
          <w:tcPr>
            <w:tcW w:w="11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$</w:t>
            </w:r>
            <w:r>
              <w:rPr>
                <w:rFonts w:ascii="Verdana" w:hAnsi="Verdana"/>
                <w:sz w:val="16"/>
                <w:lang w:val="en-US"/>
              </w:rPr>
              <w:t xml:space="preserve"> 90.000</w:t>
            </w:r>
          </w:p>
        </w:tc>
        <w:tc>
          <w:tcPr>
            <w:tcW w:w="9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500</w:t>
            </w:r>
          </w:p>
        </w:tc>
        <w:tc>
          <w:tcPr>
            <w:tcW w:w="11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658</w:t>
            </w:r>
          </w:p>
        </w:tc>
        <w:tc>
          <w:tcPr>
            <w:tcW w:w="11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986</w:t>
            </w:r>
          </w:p>
        </w:tc>
        <w:tc>
          <w:tcPr>
            <w:tcW w:w="12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$ 64.320</w:t>
            </w:r>
          </w:p>
        </w:tc>
        <w:tc>
          <w:tcPr>
            <w:tcW w:w="12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lang w:val="en-US"/>
              </w:rPr>
              <w:t>$ 154.320</w:t>
            </w:r>
          </w:p>
        </w:tc>
      </w:tr>
      <w:tr w:rsidR="00E20892" w:rsidTr="00F47FE5">
        <w:trPr>
          <w:jc w:val="center"/>
        </w:trPr>
        <w:tc>
          <w:tcPr>
            <w:tcW w:w="13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Golden Freightways 1</w:t>
            </w:r>
          </w:p>
        </w:tc>
        <w:tc>
          <w:tcPr>
            <w:tcW w:w="10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500</w:t>
            </w:r>
          </w:p>
        </w:tc>
        <w:tc>
          <w:tcPr>
            <w:tcW w:w="11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$ 96.000</w:t>
            </w:r>
          </w:p>
        </w:tc>
        <w:tc>
          <w:tcPr>
            <w:tcW w:w="9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250</w:t>
            </w:r>
          </w:p>
        </w:tc>
        <w:tc>
          <w:tcPr>
            <w:tcW w:w="11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658</w:t>
            </w:r>
          </w:p>
        </w:tc>
        <w:tc>
          <w:tcPr>
            <w:tcW w:w="11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986</w:t>
            </w:r>
          </w:p>
        </w:tc>
        <w:tc>
          <w:tcPr>
            <w:tcW w:w="127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$ 56.820</w:t>
            </w:r>
          </w:p>
        </w:tc>
        <w:tc>
          <w:tcPr>
            <w:tcW w:w="123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20892" w:rsidRDefault="00E20892" w:rsidP="00F47FE5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lang w:val="en-US"/>
              </w:rPr>
              <w:t>$152.820</w:t>
            </w:r>
          </w:p>
        </w:tc>
      </w:tr>
    </w:tbl>
    <w:p w:rsidR="00E20892" w:rsidRDefault="00E20892" w:rsidP="00E20892">
      <w:pPr>
        <w:keepNext/>
        <w:keepLines/>
        <w:spacing w:after="0" w:line="240" w:lineRule="auto"/>
      </w:pPr>
    </w:p>
    <w:p w:rsidR="00E20892" w:rsidRPr="00120ABD" w:rsidRDefault="00E20892" w:rsidP="00E20892">
      <w:pPr>
        <w:keepNext/>
        <w:keepLines/>
        <w:spacing w:after="0" w:line="240" w:lineRule="auto"/>
      </w:pPr>
      <w:r>
        <w:t xml:space="preserve">Η διοίκηση κρίνοντας με βάση τα στοιχεία του πίνακα αποφασίζει να υπογράψει συμβόλαιο με την </w:t>
      </w:r>
      <w:r>
        <w:rPr>
          <w:lang w:val="en-US"/>
        </w:rPr>
        <w:t>Golden</w:t>
      </w:r>
      <w:r>
        <w:t xml:space="preserve"> </w:t>
      </w:r>
      <w:r>
        <w:rPr>
          <w:lang w:val="en-US"/>
        </w:rPr>
        <w:t>Freightways</w:t>
      </w:r>
      <w:r>
        <w:t xml:space="preserve"> για παρτίδες μεγέθους 500 μοτέρ. Η επιλογή αυτή συνεπάγεται το υψηλότερο κόστος μεταφοράς σε σχέση με όλες τις άλλες προσφορές, αλλά οδηγεί στο μικρότερο συνολικό κόστος. Προφανώς, αν η επιλογή γινόταν με μοναδικό κριτήριο το μεταφορικό κόστος, όπως φαίνεται και από τον πίνακα η εταιρεία θα επέλεγε να συνεργαστεί και πάλι με την </w:t>
      </w:r>
      <w:r>
        <w:rPr>
          <w:lang w:val="en-US"/>
        </w:rPr>
        <w:t>Golden</w:t>
      </w:r>
      <w:r>
        <w:t xml:space="preserve"> </w:t>
      </w:r>
      <w:r>
        <w:rPr>
          <w:lang w:val="en-US"/>
        </w:rPr>
        <w:t>Freightways</w:t>
      </w:r>
      <w:r>
        <w:t xml:space="preserve">, αλλά για μεγαλύτερες αποστολές. Στην πραγματικότητα η </w:t>
      </w:r>
      <w:r>
        <w:rPr>
          <w:lang w:val="en-US"/>
        </w:rPr>
        <w:t>Eastern</w:t>
      </w:r>
      <w:r>
        <w:t xml:space="preserve"> </w:t>
      </w:r>
      <w:r>
        <w:rPr>
          <w:lang w:val="en-US"/>
        </w:rPr>
        <w:t>Electric</w:t>
      </w:r>
      <w:r>
        <w:t xml:space="preserve"> πληρώνει για μεταφορικά περισσότερα με αυτή την προσφορά, όμως συνυπολογίζοντας την σχέση κόστους μεταφορών και κόστους αποθεμάτων, η εταιρεία επιλέγει την 1</w:t>
      </w:r>
      <w:r>
        <w:rPr>
          <w:vertAlign w:val="superscript"/>
        </w:rPr>
        <w:t>η</w:t>
      </w:r>
      <w:r>
        <w:t xml:space="preserve"> προσφορά της </w:t>
      </w:r>
      <w:r>
        <w:rPr>
          <w:lang w:val="en-US"/>
        </w:rPr>
        <w:t>Golden</w:t>
      </w:r>
      <w:r>
        <w:t xml:space="preserve"> </w:t>
      </w:r>
      <w:r>
        <w:rPr>
          <w:lang w:val="en-US"/>
        </w:rPr>
        <w:t>Freightways</w:t>
      </w:r>
      <w:r>
        <w:t xml:space="preserve"> που ελαχιστοποιεί το συνολικό κόστος </w:t>
      </w:r>
      <w:r>
        <w:rPr>
          <w:lang w:val="en-US"/>
        </w:rPr>
        <w:t>Logistics</w:t>
      </w:r>
    </w:p>
    <w:sectPr w:rsidR="00E20892" w:rsidRPr="00120A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20"/>
    <w:rsid w:val="00092F20"/>
    <w:rsid w:val="00120ABD"/>
    <w:rsid w:val="00832F60"/>
    <w:rsid w:val="00A66808"/>
    <w:rsid w:val="00D80DA5"/>
    <w:rsid w:val="00E20892"/>
    <w:rsid w:val="00F3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1E9E92"/>
  <w15:chartTrackingRefBased/>
  <w15:docId w15:val="{F1355BEA-2592-4353-A484-DB436399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66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6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66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66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Vidalis</dc:creator>
  <cp:keywords/>
  <dc:description/>
  <cp:lastModifiedBy>Michael Vidalis</cp:lastModifiedBy>
  <cp:revision>6</cp:revision>
  <dcterms:created xsi:type="dcterms:W3CDTF">2018-06-18T15:59:00Z</dcterms:created>
  <dcterms:modified xsi:type="dcterms:W3CDTF">2018-08-05T08:29:00Z</dcterms:modified>
</cp:coreProperties>
</file>