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E52" w14:textId="77777777" w:rsidR="000F4FD4" w:rsidRDefault="000F4FD4" w:rsidP="000F4FD4">
      <w:pPr>
        <w:spacing w:before="120" w:line="276" w:lineRule="auto"/>
        <w:jc w:val="center"/>
        <w:rPr>
          <w:rFonts w:ascii="Calibri" w:hAnsi="Calibri" w:cs="Arial"/>
          <w:lang w:val="el-GR"/>
        </w:rPr>
      </w:pPr>
      <w:bookmarkStart w:id="0" w:name="_Toc181708547"/>
      <w:r>
        <w:rPr>
          <w:rFonts w:ascii="Calibri" w:hAnsi="Calibri" w:cs="Arial"/>
          <w:b/>
          <w:lang w:val="el-GR"/>
        </w:rPr>
        <w:t>ΠΕΡΙΓΡΑΜΜΑ</w:t>
      </w:r>
      <w:r w:rsidRPr="00F563E5">
        <w:rPr>
          <w:rFonts w:ascii="Calibri" w:hAnsi="Calibri" w:cs="Arial"/>
          <w:b/>
          <w:lang w:val="el-GR"/>
        </w:rPr>
        <w:t xml:space="preserve"> ΜΑΘΗΜΑΤΟΣ</w:t>
      </w:r>
    </w:p>
    <w:p w14:paraId="5DDEA900" w14:textId="77777777" w:rsidR="000F4FD4" w:rsidRPr="00705AAD" w:rsidRDefault="000F4FD4" w:rsidP="00FA6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 w:rsidRPr="00705AAD"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2268"/>
      </w:tblGrid>
      <w:tr w:rsidR="000F4FD4" w:rsidRPr="00705AAD" w14:paraId="54C8F026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42063B18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6259" w:type="dxa"/>
            <w:gridSpan w:val="5"/>
          </w:tcPr>
          <w:p w14:paraId="0415D63F" w14:textId="77777777" w:rsidR="000F4FD4" w:rsidRPr="003C0E3E" w:rsidRDefault="008A2E85" w:rsidP="007673F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3C0E3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l-GR"/>
              </w:rPr>
              <w:t>ΕΠΙΣΤΗΜΩΝ ΤΗΣ ΔΙΟΙΚΗΣΗΣ</w:t>
            </w:r>
          </w:p>
        </w:tc>
      </w:tr>
      <w:tr w:rsidR="000F4FD4" w:rsidRPr="00705AAD" w14:paraId="3C72F4BA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3BB1C3A9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6259" w:type="dxa"/>
            <w:gridSpan w:val="5"/>
          </w:tcPr>
          <w:p w14:paraId="2DAC0CC7" w14:textId="77777777" w:rsidR="000F4FD4" w:rsidRPr="003C0E3E" w:rsidRDefault="008A2E85" w:rsidP="008A2E85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3C0E3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l-GR"/>
              </w:rPr>
              <w:t>ΔΙΟΙΚΗΣΗ ΕΠΙΧΕΙΡΗΣΕΩΝ</w:t>
            </w:r>
          </w:p>
        </w:tc>
      </w:tr>
      <w:tr w:rsidR="000F4FD4" w:rsidRPr="00705AAD" w14:paraId="5897CFBF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21235385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6259" w:type="dxa"/>
            <w:gridSpan w:val="5"/>
          </w:tcPr>
          <w:p w14:paraId="6347E7E3" w14:textId="77777777" w:rsidR="000F4FD4" w:rsidRPr="003C0E3E" w:rsidRDefault="008A2E85" w:rsidP="008A2E85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l-GR"/>
              </w:rPr>
            </w:pPr>
            <w:r w:rsidRPr="003C0E3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l-GR"/>
              </w:rPr>
              <w:t>ΠΡΟΠΤΥΧΙΑΚΟ ΠΡ</w:t>
            </w:r>
            <w:r w:rsidRPr="003C0E3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ΟΓΡΑΜΜΑ ΣΠΟΥΔΩΝ</w:t>
            </w:r>
          </w:p>
        </w:tc>
      </w:tr>
      <w:tr w:rsidR="000F4FD4" w:rsidRPr="00705AAD" w14:paraId="4D15142B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5309BBE3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</w:tcPr>
          <w:p w14:paraId="3779C3B7" w14:textId="77777777" w:rsidR="000F4FD4" w:rsidRPr="00705AAD" w:rsidRDefault="006E6E43" w:rsidP="006E6E43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3C0E3E">
              <w:rPr>
                <w:rFonts w:ascii="Calibri" w:hAnsi="Calibri" w:cs="Arial"/>
                <w:b/>
                <w:color w:val="002060"/>
                <w:sz w:val="22"/>
                <w:szCs w:val="20"/>
                <w:lang w:val="el-GR"/>
              </w:rPr>
              <w:t>211129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55560B8F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2619" w:type="dxa"/>
            <w:gridSpan w:val="2"/>
          </w:tcPr>
          <w:p w14:paraId="6106631C" w14:textId="77777777" w:rsidR="000F4FD4" w:rsidRPr="00705AAD" w:rsidRDefault="00226B48" w:rsidP="007673F3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ΕΑΡΙΝΟ</w:t>
            </w:r>
          </w:p>
        </w:tc>
      </w:tr>
      <w:tr w:rsidR="000F4FD4" w:rsidRPr="00705AAD" w14:paraId="54AD6117" w14:textId="77777777" w:rsidTr="003C0E3E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3CB39E26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6259" w:type="dxa"/>
            <w:gridSpan w:val="5"/>
            <w:vAlign w:val="center"/>
          </w:tcPr>
          <w:p w14:paraId="51C6DA31" w14:textId="77777777" w:rsidR="000F4FD4" w:rsidRPr="008A2E85" w:rsidRDefault="008A2E85" w:rsidP="007673F3">
            <w:pPr>
              <w:rPr>
                <w:rFonts w:ascii="Calibri" w:hAnsi="Calibri" w:cs="Arial"/>
                <w:b/>
                <w:color w:val="000099"/>
                <w:sz w:val="20"/>
                <w:szCs w:val="20"/>
                <w:lang w:val="el-GR"/>
              </w:rPr>
            </w:pPr>
            <w:r w:rsidRPr="003C0E3E">
              <w:rPr>
                <w:rFonts w:ascii="Calibri" w:hAnsi="Calibri" w:cs="Arial"/>
                <w:b/>
                <w:color w:val="002060"/>
                <w:sz w:val="22"/>
                <w:szCs w:val="20"/>
                <w:lang w:val="el-GR"/>
              </w:rPr>
              <w:t>ΔΙΟΙΚΗΣΗ ΟΛΙΚΗΣ ΠΟΙΟΤΗΤΑΣ</w:t>
            </w:r>
          </w:p>
        </w:tc>
      </w:tr>
      <w:tr w:rsidR="000F4FD4" w:rsidRPr="00705AAD" w14:paraId="4A1D090B" w14:textId="77777777" w:rsidTr="003C0E3E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1A72A0A6" w14:textId="77777777" w:rsidR="000F4FD4" w:rsidRPr="00EC7BE4" w:rsidRDefault="000F4FD4" w:rsidP="007673F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  <w:r w:rsidRPr="00705AAD">
              <w:rPr>
                <w:rFonts w:ascii="Calibri" w:hAnsi="Calibri" w:cs="Arial"/>
                <w:i/>
                <w:sz w:val="18"/>
                <w:szCs w:val="18"/>
                <w:lang w:val="el-GR"/>
              </w:rPr>
              <w:t>σε περίπτωση που οι πιστωτικές μονάδες απονέμονται σε διακριτά μέρη του μαθήματος π.χ. Διαλ</w:t>
            </w:r>
            <w:r w:rsidR="00EC7BE4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έξεις, Εργαστηριακές Ασκήσεις κ</w:t>
            </w:r>
            <w:r w:rsidRPr="00705AAD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λπ. Αν οι πιστωτικές μονάδες απονέμονται ενιαία για το σύνολο του μαθήματος</w:t>
            </w:r>
            <w:r w:rsidR="00EC7BE4" w:rsidRPr="00EC7BE4">
              <w:rPr>
                <w:rFonts w:ascii="Calibri" w:hAnsi="Calibri" w:cs="Arial"/>
                <w:i/>
                <w:sz w:val="18"/>
                <w:szCs w:val="18"/>
                <w:lang w:val="el-GR"/>
              </w:rPr>
              <w:t>,</w:t>
            </w:r>
            <w:r w:rsidRPr="00705AAD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αναγράψτε τις εβδομαδιαίες ώρες διδασκαλίας και το σύνολο των πιστωτικών μονάδων</w:t>
            </w:r>
            <w:r w:rsidR="00EC7BE4" w:rsidRPr="00EC7BE4">
              <w:rPr>
                <w:rFonts w:ascii="Calibri" w:hAnsi="Calibri" w:cs="Arial"/>
                <w:i/>
                <w:sz w:val="18"/>
                <w:szCs w:val="18"/>
                <w:lang w:val="el-GR"/>
              </w:rPr>
              <w:t>.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3A89CC5C" w14:textId="77777777" w:rsidR="000F4FD4" w:rsidRPr="00705AAD" w:rsidRDefault="000F4FD4" w:rsidP="007673F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 w:rsidRPr="00705AAD"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5371A6E9" w14:textId="77777777" w:rsidR="000F4FD4" w:rsidRPr="00705AAD" w:rsidRDefault="000F4FD4" w:rsidP="007673F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0F4FD4" w:rsidRPr="00705AAD" w14:paraId="3ED64997" w14:textId="77777777" w:rsidTr="003C0E3E">
        <w:trPr>
          <w:trHeight w:val="194"/>
        </w:trPr>
        <w:tc>
          <w:tcPr>
            <w:tcW w:w="5637" w:type="dxa"/>
            <w:gridSpan w:val="3"/>
          </w:tcPr>
          <w:p w14:paraId="56F0C103" w14:textId="77777777" w:rsidR="000F4FD4" w:rsidRPr="003C0E3E" w:rsidRDefault="008A2E85" w:rsidP="007673F3">
            <w:pPr>
              <w:jc w:val="right"/>
              <w:rPr>
                <w:rFonts w:ascii="Calibri" w:hAnsi="Calibri" w:cs="Arial"/>
                <w:color w:val="002060"/>
                <w:sz w:val="22"/>
                <w:szCs w:val="20"/>
                <w:lang w:val="el-GR"/>
              </w:rPr>
            </w:pPr>
            <w:r w:rsidRPr="003C0E3E">
              <w:rPr>
                <w:rFonts w:ascii="Calibri" w:hAnsi="Calibri" w:cs="Arial"/>
                <w:color w:val="002060"/>
                <w:sz w:val="22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</w:tcPr>
          <w:p w14:paraId="6D297E02" w14:textId="77777777" w:rsidR="000F4FD4" w:rsidRPr="003C0E3E" w:rsidRDefault="008A2E85" w:rsidP="007673F3">
            <w:pPr>
              <w:jc w:val="center"/>
              <w:rPr>
                <w:rFonts w:ascii="Calibri" w:hAnsi="Calibri" w:cs="Arial"/>
                <w:color w:val="002060"/>
                <w:sz w:val="22"/>
                <w:szCs w:val="20"/>
                <w:lang w:val="el-GR"/>
              </w:rPr>
            </w:pPr>
            <w:r w:rsidRPr="003C0E3E">
              <w:rPr>
                <w:rFonts w:ascii="Calibri" w:hAnsi="Calibri" w:cs="Arial"/>
                <w:color w:val="002060"/>
                <w:sz w:val="22"/>
                <w:szCs w:val="20"/>
                <w:lang w:val="el-GR"/>
              </w:rPr>
              <w:t>3</w:t>
            </w:r>
          </w:p>
        </w:tc>
        <w:tc>
          <w:tcPr>
            <w:tcW w:w="2268" w:type="dxa"/>
          </w:tcPr>
          <w:p w14:paraId="6BD3FE79" w14:textId="77777777" w:rsidR="000F4FD4" w:rsidRPr="003C0E3E" w:rsidRDefault="008A2E85" w:rsidP="007673F3">
            <w:pPr>
              <w:jc w:val="center"/>
              <w:rPr>
                <w:rFonts w:ascii="Calibri" w:hAnsi="Calibri" w:cs="Arial"/>
                <w:color w:val="002060"/>
                <w:sz w:val="22"/>
                <w:szCs w:val="20"/>
                <w:lang w:val="el-GR"/>
              </w:rPr>
            </w:pPr>
            <w:r w:rsidRPr="003C0E3E">
              <w:rPr>
                <w:rFonts w:ascii="Calibri" w:hAnsi="Calibri" w:cs="Arial"/>
                <w:color w:val="002060"/>
                <w:sz w:val="22"/>
                <w:szCs w:val="20"/>
                <w:lang w:val="el-GR"/>
              </w:rPr>
              <w:t>5</w:t>
            </w:r>
          </w:p>
        </w:tc>
      </w:tr>
      <w:tr w:rsidR="000F4FD4" w:rsidRPr="00705AAD" w14:paraId="15DCE8D3" w14:textId="77777777" w:rsidTr="003C0E3E">
        <w:trPr>
          <w:trHeight w:val="194"/>
        </w:trPr>
        <w:tc>
          <w:tcPr>
            <w:tcW w:w="5637" w:type="dxa"/>
            <w:gridSpan w:val="3"/>
          </w:tcPr>
          <w:p w14:paraId="3DD1F368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3A73B68C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14:paraId="042EE391" w14:textId="77777777" w:rsidR="000F4FD4" w:rsidRPr="00705AAD" w:rsidRDefault="000F4FD4" w:rsidP="007673F3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0F4FD4" w:rsidRPr="00705AAD" w14:paraId="7F074DB1" w14:textId="77777777" w:rsidTr="003C0E3E">
        <w:trPr>
          <w:trHeight w:val="194"/>
        </w:trPr>
        <w:tc>
          <w:tcPr>
            <w:tcW w:w="5637" w:type="dxa"/>
            <w:gridSpan w:val="3"/>
          </w:tcPr>
          <w:p w14:paraId="56DCB480" w14:textId="77777777" w:rsidR="000F4FD4" w:rsidRPr="00705AAD" w:rsidRDefault="000F4FD4" w:rsidP="007673F3">
            <w:pPr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6C058823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14:paraId="2B44874D" w14:textId="77777777" w:rsidR="000F4FD4" w:rsidRPr="00705AAD" w:rsidRDefault="000F4FD4" w:rsidP="007673F3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0F4FD4" w:rsidRPr="00157050" w14:paraId="23479D6B" w14:textId="77777777" w:rsidTr="003C0E3E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14:paraId="563C6C65" w14:textId="77777777" w:rsidR="000F4FD4" w:rsidRPr="004823AB" w:rsidRDefault="000F4FD4" w:rsidP="007673F3">
            <w:pPr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 w:rsidRPr="004823AB"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Προσθέστε σειρές αν χρειαστεί. Η οργάνωση διδασκαλίας και οι διδακτικές μέθοδοι που χρησιμοποιούνται περιγράφονται αναλυτικά στο (δ).</w:t>
            </w:r>
          </w:p>
        </w:tc>
        <w:tc>
          <w:tcPr>
            <w:tcW w:w="1559" w:type="dxa"/>
            <w:gridSpan w:val="2"/>
          </w:tcPr>
          <w:p w14:paraId="67174A83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14:paraId="03926C0B" w14:textId="77777777" w:rsidR="000F4FD4" w:rsidRPr="00705AAD" w:rsidRDefault="000F4FD4" w:rsidP="007673F3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0F4FD4" w:rsidRPr="008A2E85" w14:paraId="6401A5D9" w14:textId="77777777" w:rsidTr="003C0E3E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0D6EC6EC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</w:t>
            </w:r>
          </w:p>
          <w:p w14:paraId="6DD21649" w14:textId="77777777" w:rsidR="000F4FD4" w:rsidRDefault="000F4FD4" w:rsidP="007673F3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1E191C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γενικού υποβάθρου, 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br/>
            </w:r>
            <w:r w:rsidRPr="001E191C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ειδικού υποβάθρου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,</w:t>
            </w:r>
            <w:r w:rsidRPr="001E191C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ειδίκευσης </w:t>
            </w:r>
          </w:p>
          <w:p w14:paraId="2FADE475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E191C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γενικών γνώσεων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, </w:t>
            </w:r>
            <w:r w:rsidRPr="001E191C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ανάπτυξης δεξιοτήτων</w:t>
            </w:r>
          </w:p>
        </w:tc>
        <w:tc>
          <w:tcPr>
            <w:tcW w:w="6259" w:type="dxa"/>
            <w:gridSpan w:val="5"/>
          </w:tcPr>
          <w:p w14:paraId="3D2232BF" w14:textId="77777777" w:rsidR="000F4FD4" w:rsidRPr="003C0E3E" w:rsidRDefault="00987A7E" w:rsidP="00987A7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Κατεύθυνση διοίκησης</w:t>
            </w:r>
          </w:p>
        </w:tc>
      </w:tr>
      <w:tr w:rsidR="000F4FD4" w:rsidRPr="00705AAD" w14:paraId="4A9458F7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2E445538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14:paraId="0E860197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259" w:type="dxa"/>
            <w:gridSpan w:val="5"/>
          </w:tcPr>
          <w:p w14:paraId="45F7B2D4" w14:textId="77777777" w:rsidR="000F4FD4" w:rsidRPr="003C0E3E" w:rsidRDefault="008A2E85" w:rsidP="008A2E85">
            <w:pPr>
              <w:tabs>
                <w:tab w:val="left" w:pos="950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ΟΧΙ</w:t>
            </w:r>
          </w:p>
        </w:tc>
      </w:tr>
      <w:tr w:rsidR="000F4FD4" w:rsidRPr="00705AAD" w14:paraId="39961B79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3825CF6D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 w:rsidRPr="00705AAD"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705AAD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259" w:type="dxa"/>
            <w:gridSpan w:val="5"/>
          </w:tcPr>
          <w:p w14:paraId="1D935E51" w14:textId="77777777" w:rsidR="000F4FD4" w:rsidRPr="003C0E3E" w:rsidRDefault="008A2E85" w:rsidP="007673F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ΕΛΛΗΝΙΚΗ</w:t>
            </w:r>
          </w:p>
        </w:tc>
      </w:tr>
      <w:tr w:rsidR="000F4FD4" w:rsidRPr="008A2E85" w14:paraId="2BB476D8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4EA8C6D3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259" w:type="dxa"/>
            <w:gridSpan w:val="5"/>
          </w:tcPr>
          <w:p w14:paraId="3BE06CA3" w14:textId="77777777" w:rsidR="000F4FD4" w:rsidRPr="003C0E3E" w:rsidRDefault="008A2E85" w:rsidP="007673F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ΟΧΙ</w:t>
            </w:r>
          </w:p>
        </w:tc>
      </w:tr>
      <w:tr w:rsidR="000F4FD4" w:rsidRPr="00705AAD" w14:paraId="4A09A9D3" w14:textId="77777777" w:rsidTr="003C0E3E">
        <w:tc>
          <w:tcPr>
            <w:tcW w:w="3205" w:type="dxa"/>
            <w:shd w:val="clear" w:color="auto" w:fill="DDD9C3" w:themeFill="background2" w:themeFillShade="E6"/>
          </w:tcPr>
          <w:p w14:paraId="453FF6D7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6259" w:type="dxa"/>
            <w:gridSpan w:val="5"/>
          </w:tcPr>
          <w:p w14:paraId="41ED5CB0" w14:textId="77777777" w:rsidR="003C0E3E" w:rsidRPr="003C0E3E" w:rsidRDefault="003C0E3E" w:rsidP="007673F3">
            <w:pPr>
              <w:spacing w:after="200" w:line="276" w:lineRule="auto"/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0E3E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val="en-GB"/>
              </w:rPr>
              <w:t>https://eclass.aegean.gr/courses/211129/</w:t>
            </w:r>
          </w:p>
        </w:tc>
      </w:tr>
    </w:tbl>
    <w:p w14:paraId="6FC4CDFB" w14:textId="77777777" w:rsidR="008027D9" w:rsidRPr="008027D9" w:rsidRDefault="008027D9" w:rsidP="008027D9">
      <w:pPr>
        <w:widowControl w:val="0"/>
        <w:autoSpaceDE w:val="0"/>
        <w:autoSpaceDN w:val="0"/>
        <w:adjustRightInd w:val="0"/>
        <w:ind w:left="357"/>
        <w:rPr>
          <w:rFonts w:ascii="Calibri" w:hAnsi="Calibri" w:cs="Arial"/>
          <w:b/>
          <w:color w:val="000000"/>
          <w:sz w:val="22"/>
          <w:szCs w:val="22"/>
        </w:rPr>
      </w:pPr>
    </w:p>
    <w:p w14:paraId="6C1EF737" w14:textId="77777777" w:rsidR="000F4FD4" w:rsidRPr="00705AAD" w:rsidRDefault="000F4FD4" w:rsidP="00FA66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 w:rsidRPr="00705AAD"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500"/>
      </w:tblGrid>
      <w:tr w:rsidR="000F4FD4" w:rsidRPr="00705AAD" w14:paraId="1E380509" w14:textId="77777777" w:rsidTr="003C0E3E">
        <w:tc>
          <w:tcPr>
            <w:tcW w:w="9464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7AFEDB82" w14:textId="77777777" w:rsidR="000F4FD4" w:rsidRPr="00705AAD" w:rsidRDefault="000F4FD4" w:rsidP="008027D9">
            <w:pPr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0F4FD4" w:rsidRPr="00157050" w14:paraId="657BA4C5" w14:textId="77777777" w:rsidTr="003C0E3E">
        <w:tc>
          <w:tcPr>
            <w:tcW w:w="9464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6625F904" w14:textId="77777777" w:rsidR="000F4FD4" w:rsidRPr="00705AAD" w:rsidRDefault="000F4FD4" w:rsidP="008027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Περιγράφονται τα μαθησιακά αποτελέσματα του μαθήματος οι συγκεκριμένες  γνώσεις, δεξιότητες και ικανότητες καταλλήλου επιπέδου που θα αποκτήσουν οι φοιτητές μετά την επιτυχή ολοκλήρωση του μαθήματος.</w:t>
            </w:r>
          </w:p>
          <w:p w14:paraId="59CF0AFC" w14:textId="77777777" w:rsidR="000F4FD4" w:rsidRPr="00705AAD" w:rsidRDefault="000F4FD4" w:rsidP="008027D9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Συμβουλευτείτε το Παράρτημα Α </w:t>
            </w:r>
          </w:p>
          <w:p w14:paraId="76E53B09" w14:textId="77777777" w:rsidR="000F4FD4" w:rsidRPr="00705AAD" w:rsidRDefault="000F4FD4" w:rsidP="00FA66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19"/>
              <w:contextualSpacing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Περιγραφή του Επιπέδου των Μαθησιακών Αποτελεσμάτων για κάθε ένα κύκλο σπουδών σύμφωνα με 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το 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Πλαίσιο Προσόντων του Ευρωπαϊκού Χώρου Ανώτατης Εκπαίδευσης</w:t>
            </w:r>
          </w:p>
          <w:p w14:paraId="5316D223" w14:textId="77777777" w:rsidR="000F4FD4" w:rsidRPr="00F21D37" w:rsidRDefault="000F4FD4" w:rsidP="00FA66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19"/>
              <w:contextualSpacing/>
              <w:rPr>
                <w:rFonts w:cs="Arial"/>
                <w:i/>
                <w:sz w:val="16"/>
                <w:szCs w:val="16"/>
                <w:lang w:val="el-GR"/>
              </w:rPr>
            </w:pPr>
            <w:r w:rsidRPr="00F21D37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Περιγραφικοί Δείκτες Επιπέδων 6, 7 &amp; 8 του Ευρωπαϊκού Πλαισίου Προσόντων Διά Βίου Μάθησης και το Παράρτημα Β</w:t>
            </w:r>
          </w:p>
          <w:p w14:paraId="2D886AF3" w14:textId="77777777" w:rsidR="000F4FD4" w:rsidRPr="00705AAD" w:rsidRDefault="000F4FD4" w:rsidP="00FA66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19"/>
              <w:contextualSpacing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Περιληπτικός Οδηγός συγγραφής Μαθησιακών Αποτελεσμάτων</w:t>
            </w:r>
          </w:p>
        </w:tc>
      </w:tr>
      <w:tr w:rsidR="000F4FD4" w:rsidRPr="008A2E85" w14:paraId="1E87ECDF" w14:textId="77777777" w:rsidTr="003C0E3E">
        <w:tc>
          <w:tcPr>
            <w:tcW w:w="9464" w:type="dxa"/>
            <w:gridSpan w:val="2"/>
          </w:tcPr>
          <w:p w14:paraId="536D181F" w14:textId="77777777" w:rsidR="008A2E85" w:rsidRPr="003C0E3E" w:rsidRDefault="00EC7BE4" w:rsidP="008027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Το μάθημα αποσκοπεί στο να εισ</w:t>
            </w:r>
            <w:r w:rsidR="008A2E85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άγει το</w:t>
            </w:r>
            <w:r w:rsidR="00CE30F0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ν</w:t>
            </w:r>
            <w:r w:rsidR="008A2E85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 φοιτητή στην κατανόηση της 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Διοίκησης</w:t>
            </w:r>
            <w:r w:rsidR="008A2E85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 Ολικής Ποιότητας (ΔΟΠ) μέσω μιας σειράς διαλέξεων, πραγματικών παραδειγμάτων, ανάλυσης περιπτώσεων και θεωρητικών μοντέλων.</w:t>
            </w:r>
            <w:r w:rsidR="00CE30F0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 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Μεγάλη έμφαση έχει δοθεί στην κάλυψη της πρακτικής εφαρμογή</w:t>
            </w:r>
            <w:r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ς του γνωστικού αντικειμένου, 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ώστε οι φοιτητές που εξ</w:t>
            </w:r>
            <w:r w:rsidRPr="00EC7BE4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’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 ορισμού δεν είναι εξειδικευμένοι στο εν λόγω πεδίο να μπορέσουν να κατανοήσουν καλύτερα τις επιλογές τους αναφορικά με τη διαχείριση και</w:t>
            </w:r>
            <w:r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 διασφάλιση της ποιότητας στις 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 xml:space="preserve">επιχειρήσεις ή </w:t>
            </w:r>
            <w:r w:rsidR="006408F4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τους ο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ργανισμ</w:t>
            </w:r>
            <w:r w:rsidR="00987A7E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ούς που θα εργαστούν μελλοντικά</w:t>
            </w:r>
            <w:r w:rsidR="00661F3F" w:rsidRPr="003C0E3E">
              <w:rPr>
                <w:rFonts w:asciiTheme="minorHAnsi" w:hAnsiTheme="minorHAnsi" w:cstheme="minorHAnsi"/>
                <w:color w:val="002060"/>
                <w:sz w:val="22"/>
                <w:lang w:val="el-GR"/>
              </w:rPr>
              <w:t>.</w:t>
            </w:r>
          </w:p>
          <w:p w14:paraId="1B432F16" w14:textId="77777777" w:rsidR="006408F4" w:rsidRPr="00EC7BE4" w:rsidRDefault="006408F4" w:rsidP="008027D9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  <w:p w14:paraId="7B721FF4" w14:textId="77777777" w:rsidR="008027D9" w:rsidRPr="003C0E3E" w:rsidRDefault="008027D9" w:rsidP="008027D9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Με την επιτυχή ολοκλήρωση </w:t>
            </w:r>
            <w:r w:rsidR="00EC7BE4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του μαθήματος</w:t>
            </w: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ο φοιτητής θα πρέπει να είναι σε θέση να:</w:t>
            </w:r>
          </w:p>
          <w:p w14:paraId="6440BFFC" w14:textId="77777777" w:rsidR="008027D9" w:rsidRPr="003C0E3E" w:rsidRDefault="008027D9" w:rsidP="00FA66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C0E3E">
              <w:rPr>
                <w:rFonts w:asciiTheme="minorHAnsi" w:hAnsiTheme="minorHAnsi" w:cstheme="minorHAnsi"/>
                <w:color w:val="002060"/>
              </w:rPr>
              <w:t>Εφαρμόζει τις βασικές αρχές της ΔΟΠ για να αναλύει και αξιολογεί το πρόγραμμα ποιότητας ενός πραγματικού οργανισμού. (</w:t>
            </w:r>
            <w:r w:rsidRPr="003C0E3E">
              <w:rPr>
                <w:rFonts w:asciiTheme="minorHAnsi" w:hAnsiTheme="minorHAnsi" w:cstheme="minorHAnsi"/>
                <w:i/>
                <w:color w:val="002060"/>
              </w:rPr>
              <w:t>Εφαρμογή, ανάλυση, αξιολόγηση</w:t>
            </w:r>
            <w:r w:rsidRPr="003C0E3E">
              <w:rPr>
                <w:rFonts w:asciiTheme="minorHAnsi" w:hAnsiTheme="minorHAnsi" w:cstheme="minorHAnsi"/>
                <w:color w:val="002060"/>
              </w:rPr>
              <w:t>)</w:t>
            </w:r>
          </w:p>
          <w:p w14:paraId="23121990" w14:textId="77777777" w:rsidR="008027D9" w:rsidRPr="003C0E3E" w:rsidRDefault="008027D9" w:rsidP="00FA66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C0E3E">
              <w:rPr>
                <w:rFonts w:asciiTheme="minorHAnsi" w:hAnsiTheme="minorHAnsi" w:cstheme="minorHAnsi"/>
                <w:color w:val="002060"/>
              </w:rPr>
              <w:t>Αναλύει και ενσωματώνει τις βασικές αρχές των πολύπλοκων σκεπτόμενων συστημάτων σε ένα καλά σχεδιασμένο πρόγραμμα ολικής ποιότητας. (</w:t>
            </w:r>
            <w:r w:rsidRPr="003C0E3E">
              <w:rPr>
                <w:rFonts w:asciiTheme="minorHAnsi" w:hAnsiTheme="minorHAnsi" w:cstheme="minorHAnsi"/>
                <w:i/>
                <w:color w:val="002060"/>
              </w:rPr>
              <w:t>Ανάλυση και σύνθεση</w:t>
            </w:r>
            <w:r w:rsidRPr="003C0E3E">
              <w:rPr>
                <w:rFonts w:asciiTheme="minorHAnsi" w:hAnsiTheme="minorHAnsi" w:cstheme="minorHAnsi"/>
                <w:color w:val="002060"/>
              </w:rPr>
              <w:t>)</w:t>
            </w:r>
          </w:p>
          <w:p w14:paraId="086B7C30" w14:textId="77777777" w:rsidR="00987A7E" w:rsidRPr="004823AB" w:rsidRDefault="008027D9" w:rsidP="004823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C0E3E">
              <w:rPr>
                <w:rFonts w:asciiTheme="minorHAnsi" w:hAnsiTheme="minorHAnsi" w:cstheme="minorHAnsi"/>
                <w:color w:val="002060"/>
              </w:rPr>
              <w:t xml:space="preserve">Αξιολογεί και συνιστά τις αναγκαίες διεπιστημονικές συνεργίες που σχετίζονται με την αξιολόγηση </w:t>
            </w:r>
            <w:r w:rsidRPr="003C0E3E">
              <w:rPr>
                <w:rFonts w:asciiTheme="minorHAnsi" w:hAnsiTheme="minorHAnsi" w:cstheme="minorHAnsi"/>
                <w:color w:val="002060"/>
              </w:rPr>
              <w:lastRenderedPageBreak/>
              <w:t>και τη βελτίωση του προγράμματος ποιότητας του επιχειρησιακού συστήματος ώστε να διασφαλιστεί η συνεχής στρατηγική ευθυγράμμιση μεταξύ του εσωτερικού και του εξωτερικού περιβάλλοντος. (</w:t>
            </w:r>
            <w:r w:rsidRPr="003C0E3E">
              <w:rPr>
                <w:rFonts w:asciiTheme="minorHAnsi" w:hAnsiTheme="minorHAnsi" w:cstheme="minorHAnsi"/>
                <w:i/>
                <w:color w:val="002060"/>
              </w:rPr>
              <w:t>Εκτίμηση</w:t>
            </w:r>
            <w:r w:rsidRPr="003C0E3E">
              <w:rPr>
                <w:rFonts w:asciiTheme="minorHAnsi" w:hAnsiTheme="minorHAnsi" w:cstheme="minorHAnsi"/>
                <w:color w:val="002060"/>
              </w:rPr>
              <w:t>)</w:t>
            </w:r>
          </w:p>
        </w:tc>
      </w:tr>
      <w:tr w:rsidR="000F4FD4" w:rsidRPr="00705AAD" w14:paraId="39292081" w14:textId="77777777" w:rsidTr="003C0E3E">
        <w:tblPrEx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5F96D9A9" w14:textId="77777777" w:rsidR="000F4FD4" w:rsidRPr="00705AAD" w:rsidRDefault="000F4FD4" w:rsidP="00305D37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0F4FD4" w:rsidRPr="00157050" w14:paraId="5B90B5CF" w14:textId="77777777" w:rsidTr="003C0E3E">
        <w:tc>
          <w:tcPr>
            <w:tcW w:w="9464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79D0D538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Λαμβάνοντας υπόψη τις γενικές ικανότητες που πρέπει να έχει αποκτήσει ο πτυχιούχος (όπως αυτές αναγράφονται στο Παράρτημα Διπλώματος και παρατίθενται ακολούθως) σε ποια / ποιες από αυτές αποσκοπεί το μάθημα;.</w:t>
            </w:r>
          </w:p>
        </w:tc>
      </w:tr>
      <w:tr w:rsidR="000F4FD4" w:rsidRPr="007E6482" w14:paraId="5882D359" w14:textId="77777777" w:rsidTr="003C0E3E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599BB8C3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14:paraId="460C06A1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Προσαρμογή σε νέες καταστάσεις </w:t>
            </w:r>
          </w:p>
          <w:p w14:paraId="566716A5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Λήψη αποφάσεων </w:t>
            </w:r>
          </w:p>
          <w:p w14:paraId="4BDC8EB5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Αυτόνομη εργασία </w:t>
            </w:r>
          </w:p>
          <w:p w14:paraId="675B9CA1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Ομαδική εργασία </w:t>
            </w:r>
          </w:p>
          <w:p w14:paraId="4094B563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Εργασία σε διεθνές περιβάλλον </w:t>
            </w:r>
          </w:p>
          <w:p w14:paraId="23FF7C32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Εργασία σε διεπιστημονικό περιβάλλον </w:t>
            </w:r>
          </w:p>
          <w:p w14:paraId="1B4C4CDA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Παράγωγή νέων ερευνητικών ιδεών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592D13FF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Σχεδιασμός και διαχείριση έργων </w:t>
            </w:r>
          </w:p>
          <w:p w14:paraId="3164FE72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Σεβασμός στη διαφορετικότητα και στην πολυπολιτισμικότητα </w:t>
            </w:r>
          </w:p>
          <w:p w14:paraId="0A8228F8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Σεβασμός στο φυσικό περιβάλλον </w:t>
            </w:r>
          </w:p>
          <w:p w14:paraId="3E6A657F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Επίδειξη κοινωνικής, επαγγελματικής και ηθικής υπευθυνότητας και ευαισθησίας σε θέματα φύλου </w:t>
            </w:r>
          </w:p>
          <w:p w14:paraId="12C483D8" w14:textId="77777777" w:rsidR="000F4FD4" w:rsidRPr="00705AAD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Άσκηση κριτικής και αυτοκριτικής </w:t>
            </w:r>
          </w:p>
          <w:p w14:paraId="1802AC9E" w14:textId="77777777" w:rsidR="000F4FD4" w:rsidRDefault="000F4FD4" w:rsidP="00305D37">
            <w:pPr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Προαγωγή της ελεύθερης, δημιουργικής και επαγωγικής σκέψης</w:t>
            </w:r>
          </w:p>
          <w:p w14:paraId="39A4F740" w14:textId="77777777" w:rsidR="000F4FD4" w:rsidRDefault="000F4FD4" w:rsidP="00305D37">
            <w:pPr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……</w:t>
            </w:r>
          </w:p>
          <w:p w14:paraId="08AE2187" w14:textId="77777777" w:rsidR="000F4FD4" w:rsidRDefault="000F4FD4" w:rsidP="00305D37">
            <w:pPr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Άλλες…</w:t>
            </w:r>
          </w:p>
          <w:p w14:paraId="1B48F244" w14:textId="77777777" w:rsidR="000F4FD4" w:rsidRPr="00705AAD" w:rsidRDefault="000F4FD4" w:rsidP="00305D37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…….</w:t>
            </w:r>
          </w:p>
        </w:tc>
      </w:tr>
      <w:tr w:rsidR="000F4FD4" w:rsidRPr="00157050" w14:paraId="0A9C5579" w14:textId="77777777" w:rsidTr="003C0E3E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2DF2E376" w14:textId="77777777" w:rsidR="00E32C22" w:rsidRPr="003C0E3E" w:rsidRDefault="00E32C22" w:rsidP="00FA66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Προαγωγή της ελεύθερης, δημιουργικής και επαγωγικής σκέψης για την ανάπτυξη πρωτότυπων ιδεών</w:t>
            </w:r>
          </w:p>
          <w:p w14:paraId="5A0CEF72" w14:textId="77777777" w:rsidR="00E32C22" w:rsidRPr="003C0E3E" w:rsidRDefault="00E32C22" w:rsidP="00FA66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Αναζήτηση, ανάλυση και σύνθεση δεδομένων και πληροφοριών, με τη χρήση σύγχρονων επιστημονικών εργαλείων για την επίλυση προβλημάτων σε εξειδικευμένες εφαρμογές </w:t>
            </w:r>
          </w:p>
          <w:p w14:paraId="3D4AD07D" w14:textId="77777777" w:rsidR="00E32C22" w:rsidRPr="003C0E3E" w:rsidRDefault="00E32C22" w:rsidP="00FA66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002060"/>
                <w:sz w:val="22"/>
                <w:szCs w:val="22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Αυτόνομη εργασία </w:t>
            </w:r>
          </w:p>
          <w:p w14:paraId="7A2D30B6" w14:textId="77777777" w:rsidR="003C0E3E" w:rsidRPr="003C0E3E" w:rsidRDefault="00E32C22" w:rsidP="00305D3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Ομαδική εργασία </w:t>
            </w:r>
          </w:p>
          <w:p w14:paraId="32B2A623" w14:textId="77777777" w:rsidR="000F4FD4" w:rsidRPr="003C0E3E" w:rsidRDefault="00E32C22" w:rsidP="003C0E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Άσκηση κριτικής και αυτοκριτικής σκέψης και διατύπωση κρίσεων</w:t>
            </w:r>
          </w:p>
        </w:tc>
      </w:tr>
    </w:tbl>
    <w:p w14:paraId="2A87C4BF" w14:textId="77777777" w:rsidR="004C4C3D" w:rsidRPr="00EC7BE4" w:rsidRDefault="004C4C3D">
      <w:pPr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14:paraId="3593994C" w14:textId="77777777" w:rsidR="007941F8" w:rsidRDefault="007941F8">
      <w:pPr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(3) 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7941F8" w:rsidRPr="003C0E3E" w14:paraId="626DD29D" w14:textId="77777777" w:rsidTr="00B16FAF">
        <w:tc>
          <w:tcPr>
            <w:tcW w:w="8472" w:type="dxa"/>
          </w:tcPr>
          <w:p w14:paraId="7A6CBE24" w14:textId="77777777" w:rsidR="008A2E85" w:rsidRDefault="008A2E85" w:rsidP="008A2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75A7F" w14:textId="77777777" w:rsidR="00E32C22" w:rsidRPr="003C0E3E" w:rsidRDefault="00E32C22" w:rsidP="00E32C22">
            <w:pPr>
              <w:keepNext/>
              <w:spacing w:after="120"/>
              <w:jc w:val="both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i/>
                <w:color w:val="002060"/>
                <w:sz w:val="22"/>
                <w:szCs w:val="22"/>
                <w:lang w:val="el-GR"/>
              </w:rPr>
              <w:t>Βασικές ενότητες</w:t>
            </w:r>
          </w:p>
          <w:tbl>
            <w:tblPr>
              <w:tblW w:w="123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0"/>
              <w:gridCol w:w="10750"/>
            </w:tblGrid>
            <w:tr w:rsidR="003C0E3E" w:rsidRPr="003C0E3E" w14:paraId="3ADCBA07" w14:textId="77777777" w:rsidTr="00DB11A3">
              <w:trPr>
                <w:trHeight w:val="586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E797DF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1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BA28C5" w14:textId="77777777" w:rsidR="00E32C22" w:rsidRPr="003C0E3E" w:rsidRDefault="00E32C22" w:rsidP="00E32C22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Εισαγωγή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,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Η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Προσέγγιση </w:t>
                  </w:r>
                  <w:r w:rsidR="00CD5598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τ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ης Ολικής Ποιότητας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(</w:t>
                  </w:r>
                  <w:r w:rsidR="00987693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έ</w:t>
                  </w:r>
                  <w:r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 xml:space="preserve">ννοια, </w:t>
                  </w:r>
                  <w:r w:rsidR="00987693"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σ</w:t>
                  </w:r>
                  <w:r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ημασία,</w:t>
                  </w:r>
                </w:p>
                <w:p w14:paraId="15BAD07B" w14:textId="77777777" w:rsidR="00E32C22" w:rsidRPr="003C0E3E" w:rsidRDefault="00987693" w:rsidP="00987693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ο</w:t>
                  </w:r>
                  <w:r w:rsidR="00E32C22"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 xml:space="preserve">ρισμοί </w:t>
                  </w:r>
                  <w:r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π</w:t>
                  </w:r>
                  <w:r w:rsidR="00E32C22"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οιότητας</w:t>
                  </w:r>
                  <w:r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, σ</w:t>
                  </w:r>
                  <w:r w:rsidR="00E32C22"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 xml:space="preserve">υστήματα </w:t>
                  </w:r>
                  <w:r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π</w:t>
                  </w:r>
                  <w:r w:rsidR="00E32C22" w:rsidRPr="003C0E3E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οιότητας)</w:t>
                  </w:r>
                </w:p>
              </w:tc>
            </w:tr>
            <w:tr w:rsidR="003C0E3E" w:rsidRPr="003C0E3E" w14:paraId="63C896FD" w14:textId="77777777" w:rsidTr="00DB11A3">
              <w:trPr>
                <w:trHeight w:val="571"/>
              </w:trPr>
              <w:tc>
                <w:tcPr>
                  <w:tcW w:w="16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D972FD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2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1D2295" w14:textId="77777777" w:rsidR="00E32C22" w:rsidRPr="003C0E3E" w:rsidRDefault="00E32C22" w:rsidP="007A62EB">
                  <w:pPr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Οι </w:t>
                  </w:r>
                  <w:r w:rsidR="00CD5598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ρωτεργάτες της Ολικής Ποιότητας (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Deming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,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Juran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,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Crosby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, </w:t>
                  </w:r>
                </w:p>
                <w:p w14:paraId="05C4A3B2" w14:textId="77777777" w:rsidR="00E32C22" w:rsidRPr="003C0E3E" w:rsidRDefault="00E32C22" w:rsidP="00E32C22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Feigenbaum, Ishikawa, Taguchi]</w:t>
                  </w:r>
                </w:p>
              </w:tc>
            </w:tr>
            <w:tr w:rsidR="003C0E3E" w:rsidRPr="00157050" w14:paraId="1525805A" w14:textId="77777777" w:rsidTr="007A62EB">
              <w:trPr>
                <w:trHeight w:val="584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555203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3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37F85B" w14:textId="77777777" w:rsidR="00987693" w:rsidRPr="003C0E3E" w:rsidRDefault="00E32C22" w:rsidP="00E32C22">
                  <w:pPr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Ποιότητα και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Παγκόσμια Ανταγωνιστικότητα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.</w:t>
                  </w:r>
                  <w:r w:rsidR="00987693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14:paraId="3B3FAEE6" w14:textId="77777777" w:rsidR="00E32C22" w:rsidRPr="003C0E3E" w:rsidRDefault="00987693" w:rsidP="00987693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Διοίκηση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οιότητας, Ηθική και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Εταιρική Κοινωνική Ευθύνη</w:t>
                  </w:r>
                </w:p>
              </w:tc>
            </w:tr>
            <w:tr w:rsidR="003C0E3E" w:rsidRPr="00157050" w14:paraId="25826679" w14:textId="77777777" w:rsidTr="00E32C22">
              <w:trPr>
                <w:trHeight w:val="617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B9CB85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4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C18A74" w14:textId="77777777" w:rsidR="00E32C22" w:rsidRPr="003C0E3E" w:rsidRDefault="00987693" w:rsidP="00987693">
                  <w:pPr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Κουλτούρα ποιότητας</w:t>
                  </w:r>
                </w:p>
                <w:p w14:paraId="2FE95584" w14:textId="77777777" w:rsidR="00987693" w:rsidRPr="003C0E3E" w:rsidRDefault="00987693" w:rsidP="00CD5598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Ηγεσία &amp; </w:t>
                  </w:r>
                  <w:r w:rsidR="00CD5598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Α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λλαγή. Ενδυνάμωση </w:t>
                  </w:r>
                  <w:r w:rsidR="00CD5598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Ε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ργαζομένων</w:t>
                  </w:r>
                </w:p>
              </w:tc>
            </w:tr>
            <w:tr w:rsidR="003C0E3E" w:rsidRPr="003C0E3E" w14:paraId="3FE2C1F3" w14:textId="77777777" w:rsidTr="00DB11A3">
              <w:trPr>
                <w:trHeight w:val="633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A1E84E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5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C59C297" w14:textId="77777777" w:rsidR="00E32C22" w:rsidRPr="003C0E3E" w:rsidRDefault="00E32C22" w:rsidP="00E32C22">
                  <w:pPr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Συνεργασίες και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Στρατηγικές Συνεργασίες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(με προμηθευτές, πελάτες, </w:t>
                  </w:r>
                </w:p>
                <w:p w14:paraId="7A8AF4EB" w14:textId="77777777" w:rsidR="00E32C22" w:rsidRPr="003C0E3E" w:rsidRDefault="00E32C22" w:rsidP="00E32C22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δυνητικούς ανταγωνιστές, κλπ</w:t>
                  </w:r>
                  <w:r w:rsidR="00987693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.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)</w:t>
                  </w:r>
                </w:p>
              </w:tc>
            </w:tr>
            <w:tr w:rsidR="003C0E3E" w:rsidRPr="00157050" w14:paraId="35A2A204" w14:textId="77777777" w:rsidTr="00DB11A3">
              <w:trPr>
                <w:trHeight w:val="441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375460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6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ACE38E" w14:textId="77777777" w:rsidR="00E32C22" w:rsidRPr="003C0E3E" w:rsidRDefault="00987693" w:rsidP="00987693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Ικανοποίηση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Πελατών, Διατήρηση και Αφοσίωση</w:t>
                  </w:r>
                </w:p>
              </w:tc>
            </w:tr>
            <w:tr w:rsidR="00D661DA" w:rsidRPr="00D661DA" w14:paraId="21F249EB" w14:textId="77777777" w:rsidTr="007A62EB">
              <w:trPr>
                <w:trHeight w:val="573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B2E4EB7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7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8EA575" w14:textId="77777777" w:rsidR="00D661DA" w:rsidRPr="003C0E3E" w:rsidRDefault="00D661DA" w:rsidP="00D661DA">
                  <w:pPr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ISO 9000 &amp;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Ολική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οιότητα</w:t>
                  </w:r>
                </w:p>
                <w:p w14:paraId="4D6E77AF" w14:textId="77777777" w:rsidR="00E32C22" w:rsidRPr="003C0E3E" w:rsidRDefault="00D661DA" w:rsidP="00D661DA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Βραβεία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ποιότητας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(Deming, Malcolm Baldrige, EFQM)</w:t>
                  </w:r>
                </w:p>
              </w:tc>
            </w:tr>
            <w:tr w:rsidR="00D661DA" w:rsidRPr="00D661DA" w14:paraId="20A6C782" w14:textId="77777777" w:rsidTr="00D661DA">
              <w:trPr>
                <w:trHeight w:val="465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0A91F0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8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8D8EAA" w14:textId="77777777" w:rsidR="00E32C22" w:rsidRPr="003C0E3E" w:rsidRDefault="00D661DA" w:rsidP="00D661DA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Εργαλεία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οιότητας</w:t>
                  </w:r>
                </w:p>
              </w:tc>
            </w:tr>
            <w:tr w:rsidR="00D661DA" w:rsidRPr="00D661DA" w14:paraId="3867C755" w14:textId="77777777" w:rsidTr="007A62EB">
              <w:trPr>
                <w:trHeight w:val="475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407F19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9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58B6BF" w14:textId="77777777" w:rsidR="00987693" w:rsidRPr="003C0E3E" w:rsidRDefault="00D661DA" w:rsidP="00D661DA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Κόστος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οιότητας</w:t>
                  </w:r>
                </w:p>
              </w:tc>
            </w:tr>
            <w:tr w:rsidR="00D661DA" w:rsidRPr="00D661DA" w14:paraId="6ECE0BCC" w14:textId="77777777" w:rsidTr="007A62EB">
              <w:trPr>
                <w:trHeight w:val="475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56CACB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10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CAE8917" w14:textId="77777777" w:rsidR="00E32C22" w:rsidRPr="003C0E3E" w:rsidRDefault="00D661DA" w:rsidP="00D661DA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Στατιστικός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Έλεγχος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Ποιότητας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-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I</w:t>
                  </w:r>
                </w:p>
              </w:tc>
            </w:tr>
            <w:tr w:rsidR="00D661DA" w:rsidRPr="00D661DA" w14:paraId="49373DCD" w14:textId="77777777" w:rsidTr="007A62EB">
              <w:trPr>
                <w:trHeight w:val="475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A79488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lastRenderedPageBreak/>
                    <w:t>11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FA1653" w14:textId="77777777" w:rsidR="00E32C22" w:rsidRPr="003C0E3E" w:rsidRDefault="000B656A" w:rsidP="000B656A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Στατιστικός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Έλεγχος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Ποιότητας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 xml:space="preserve"> </w:t>
                  </w:r>
                  <w:r w:rsidR="00D661DA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- II</w:t>
                  </w:r>
                </w:p>
              </w:tc>
            </w:tr>
            <w:tr w:rsidR="00D661DA" w:rsidRPr="00157050" w14:paraId="724F77FB" w14:textId="77777777" w:rsidTr="007A62EB">
              <w:trPr>
                <w:trHeight w:val="475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4ABE88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12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7C582D" w14:textId="77777777" w:rsidR="00E32C22" w:rsidRPr="003C0E3E" w:rsidRDefault="000B656A" w:rsidP="000B656A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Λιτές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Λ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ειτουργίες,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Six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</w:rPr>
                    <w:t>Sigma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&amp; Μέθοδοι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Β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ελτίωσης</w:t>
                  </w:r>
                </w:p>
              </w:tc>
            </w:tr>
            <w:tr w:rsidR="00D661DA" w:rsidRPr="003C0E3E" w14:paraId="25A5E377" w14:textId="77777777" w:rsidTr="007A62EB">
              <w:trPr>
                <w:trHeight w:val="475"/>
              </w:trPr>
              <w:tc>
                <w:tcPr>
                  <w:tcW w:w="16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BADCE1" w14:textId="77777777" w:rsidR="00E32C22" w:rsidRPr="003C0E3E" w:rsidRDefault="00E32C22" w:rsidP="007A62EB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>13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position w:val="7"/>
                      <w:sz w:val="22"/>
                      <w:szCs w:val="22"/>
                      <w:u w:val="single"/>
                      <w:vertAlign w:val="superscript"/>
                      <w:lang w:val="el-GR"/>
                    </w:rPr>
                    <w:t>ο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u w:val="single"/>
                      <w:lang w:val="el-GR"/>
                    </w:rPr>
                    <w:t xml:space="preserve"> μάθημα: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7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B897F4" w14:textId="77777777" w:rsidR="00CD5598" w:rsidRDefault="000B656A" w:rsidP="00CD5598">
                  <w:pPr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Εφαρμόζοντας τις 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Α</w:t>
                  </w: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ρχές της Δ</w:t>
                  </w:r>
                  <w:r w:rsidR="00CD5598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ιοίκησης Ολικής Ποιότητας</w:t>
                  </w:r>
                  <w:r w:rsidR="00CD5598"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14:paraId="28AA3AFE" w14:textId="77777777" w:rsidR="00E32C22" w:rsidRPr="003C0E3E" w:rsidRDefault="00CD5598" w:rsidP="00CD5598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Theme="minorHAnsi" w:eastAsia="ヒラギノ角ゴ Pro W3" w:hAnsiTheme="minorHAnsi" w:cstheme="minorHAnsi"/>
                      <w:color w:val="002060"/>
                      <w:kern w:val="24"/>
                      <w:sz w:val="22"/>
                      <w:szCs w:val="22"/>
                      <w:lang w:val="el-GR"/>
                    </w:rPr>
                    <w:t>Ανακεφαλαίωση</w:t>
                  </w:r>
                </w:p>
              </w:tc>
            </w:tr>
          </w:tbl>
          <w:p w14:paraId="681400C1" w14:textId="77777777" w:rsidR="007941F8" w:rsidRPr="003C0E3E" w:rsidRDefault="007941F8" w:rsidP="00B16FAF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</w:tbl>
    <w:p w14:paraId="2A35BD75" w14:textId="77777777" w:rsidR="00DB11A3" w:rsidRDefault="00DB11A3">
      <w:pPr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14:paraId="6AB204F9" w14:textId="77777777" w:rsidR="000F4FD4" w:rsidRPr="007941F8" w:rsidRDefault="000F4FD4" w:rsidP="00FA66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cs="Arial"/>
          <w:b/>
          <w:color w:val="000000"/>
        </w:rPr>
      </w:pPr>
      <w:r w:rsidRPr="007941F8">
        <w:rPr>
          <w:rFonts w:cs="Arial"/>
          <w:b/>
          <w:color w:val="000000"/>
        </w:rPr>
        <w:t>ΔΙΔΑΚΤΙΚΕΣ και ΜΑΘΗΣΙΑΚΕΣ ΜΕΘΟΔΟΙ - ΑΞΙΟΛΟΓΗΣΗ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6158"/>
      </w:tblGrid>
      <w:tr w:rsidR="000F4FD4" w:rsidRPr="008A2E85" w14:paraId="65B59315" w14:textId="77777777" w:rsidTr="003C0E3E">
        <w:tc>
          <w:tcPr>
            <w:tcW w:w="3306" w:type="dxa"/>
            <w:shd w:val="clear" w:color="auto" w:fill="DDD9C3" w:themeFill="background2" w:themeFillShade="E6"/>
          </w:tcPr>
          <w:p w14:paraId="4A75ABA2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Πρόσωπο με πρόσωπο, Εξ αποστάσεως εκπαίδευση κ.λπ.</w:t>
            </w:r>
          </w:p>
        </w:tc>
        <w:tc>
          <w:tcPr>
            <w:tcW w:w="6158" w:type="dxa"/>
          </w:tcPr>
          <w:p w14:paraId="1F464443" w14:textId="77777777" w:rsidR="000F4FD4" w:rsidRPr="003C0E3E" w:rsidRDefault="00B16FAF" w:rsidP="00B16FAF">
            <w:pPr>
              <w:spacing w:after="200" w:line="276" w:lineRule="auto"/>
              <w:rPr>
                <w:rFonts w:asciiTheme="minorHAnsi" w:eastAsia="Calibr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eastAsia="Calibri" w:hAnsiTheme="minorHAnsi" w:cstheme="minorHAnsi"/>
                <w:iCs/>
                <w:color w:val="002060"/>
                <w:sz w:val="22"/>
                <w:szCs w:val="22"/>
                <w:lang w:val="el-GR"/>
              </w:rPr>
              <w:t>Πρόσωπο με πρόσωπο</w:t>
            </w:r>
          </w:p>
        </w:tc>
      </w:tr>
      <w:tr w:rsidR="000F4FD4" w:rsidRPr="00157050" w14:paraId="63D6F029" w14:textId="77777777" w:rsidTr="003C0E3E">
        <w:tc>
          <w:tcPr>
            <w:tcW w:w="3306" w:type="dxa"/>
            <w:shd w:val="clear" w:color="auto" w:fill="DDD9C3" w:themeFill="background2" w:themeFillShade="E6"/>
          </w:tcPr>
          <w:p w14:paraId="01D8772E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Χρήση Τ.Π.Ε. στη Διδασκαλία, στην Εργαστηριακή Εκπαίδευση, στην Επικοινωνία με τους φοιτητές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6860DE6C" w14:textId="77777777" w:rsidR="00B16FAF" w:rsidRPr="003C0E3E" w:rsidRDefault="00B16FAF" w:rsidP="00FA6650">
            <w:pPr>
              <w:pStyle w:val="ListParagraph"/>
              <w:numPr>
                <w:ilvl w:val="0"/>
                <w:numId w:val="12"/>
              </w:numPr>
              <w:ind w:left="409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3C0E3E">
              <w:rPr>
                <w:rFonts w:asciiTheme="minorHAnsi" w:hAnsiTheme="minorHAnsi" w:cstheme="minorHAnsi"/>
                <w:iCs/>
                <w:color w:val="002060"/>
              </w:rPr>
              <w:t>Υποστήριξη Μαθησιακής διαδικασίας μέσω ΤΠΕ στη διδασκαλία και την επικοινωνία με τους φοιτητές (</w:t>
            </w:r>
            <w:r w:rsidR="004B7E77">
              <w:rPr>
                <w:rFonts w:asciiTheme="minorHAnsi" w:hAnsiTheme="minorHAnsi" w:cstheme="minorHAnsi"/>
                <w:color w:val="002060"/>
              </w:rPr>
              <w:t>χ</w:t>
            </w:r>
            <w:r w:rsidR="00450813">
              <w:rPr>
                <w:rFonts w:asciiTheme="minorHAnsi" w:hAnsiTheme="minorHAnsi" w:cstheme="minorHAnsi"/>
                <w:color w:val="002060"/>
              </w:rPr>
              <w:t xml:space="preserve">ρήση πλατφόρμας επικοινωνίας </w:t>
            </w:r>
            <w:r w:rsidRPr="003C0E3E">
              <w:rPr>
                <w:rFonts w:asciiTheme="minorHAnsi" w:hAnsiTheme="minorHAnsi" w:cstheme="minorHAnsi"/>
                <w:color w:val="002060"/>
                <w:lang w:val="en-US"/>
              </w:rPr>
              <w:t>eclass</w:t>
            </w:r>
            <w:r w:rsidRPr="003C0E3E">
              <w:rPr>
                <w:rFonts w:asciiTheme="minorHAnsi" w:hAnsiTheme="minorHAnsi" w:cstheme="minorHAnsi"/>
                <w:color w:val="002060"/>
              </w:rPr>
              <w:t>)</w:t>
            </w:r>
          </w:p>
          <w:p w14:paraId="6741D6B6" w14:textId="77777777" w:rsidR="000F4FD4" w:rsidRPr="003C0E3E" w:rsidRDefault="00B16FAF" w:rsidP="00FA6650">
            <w:pPr>
              <w:pStyle w:val="ListParagraph"/>
              <w:numPr>
                <w:ilvl w:val="0"/>
                <w:numId w:val="12"/>
              </w:numPr>
              <w:ind w:left="409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3C0E3E">
              <w:rPr>
                <w:rFonts w:asciiTheme="minorHAnsi" w:hAnsiTheme="minorHAnsi" w:cstheme="minorHAnsi"/>
                <w:iCs/>
                <w:color w:val="002060"/>
              </w:rPr>
              <w:t>Π</w:t>
            </w:r>
            <w:r w:rsidRPr="003C0E3E">
              <w:rPr>
                <w:rFonts w:asciiTheme="minorHAnsi" w:hAnsiTheme="minorHAnsi" w:cstheme="minorHAnsi"/>
                <w:color w:val="002060"/>
              </w:rPr>
              <w:t>αρακολούθηση μαθημάτων μέσω Power Point.</w:t>
            </w:r>
          </w:p>
        </w:tc>
      </w:tr>
      <w:tr w:rsidR="000F4FD4" w:rsidRPr="00705AAD" w14:paraId="35912E87" w14:textId="77777777" w:rsidTr="003C0E3E">
        <w:tc>
          <w:tcPr>
            <w:tcW w:w="3306" w:type="dxa"/>
            <w:shd w:val="clear" w:color="auto" w:fill="DDD9C3" w:themeFill="background2" w:themeFillShade="E6"/>
          </w:tcPr>
          <w:p w14:paraId="47C85240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14:paraId="6B0836AA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Περιγράφονται αναλυτικά ο τρόπος και μέθοδοι διδασκαλίας.</w:t>
            </w:r>
          </w:p>
          <w:p w14:paraId="35261AA9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Διαλέξεις, Σεμινάρια, Εργαστηριακή Άσκηση, Άσκηση Πεδίου, Μελέτη &amp; ανάλυση βιβλιογραφίας, Φροντιστήριο, Πρακτική (Τοποθέτηση), Κλινική Άσκηση, Καλλιτεχνικό Εργαστήριο, </w:t>
            </w:r>
            <w:r w:rsidRPr="00245FA4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Διαδραστική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διδασκαλία, Εκπαιδευτικές επισκέψεις, Εκπόνηση μελέτης (</w:t>
            </w:r>
            <w:r w:rsidRPr="00245FA4">
              <w:rPr>
                <w:rFonts w:ascii="Calibri" w:hAnsi="Calibri" w:cs="Arial"/>
                <w:i/>
                <w:sz w:val="16"/>
                <w:szCs w:val="16"/>
              </w:rPr>
              <w:t>project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), Συγγραφή εργασίας / εργασιών, Καλλιτεχνική δημιουργία, κ.λπ.</w:t>
            </w:r>
          </w:p>
          <w:p w14:paraId="11D98576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  <w:p w14:paraId="60E1BEF5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Αναγράφονται οι ώρες μελέτης του φοιτητή για κάθε μαθησιακή δραστηριότητα καθώς και οι ώρες μη καθοδηγούμενης μελέτης 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σύμφωνα με τις αρχές 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του </w:t>
            </w:r>
            <w:r w:rsidRPr="00705AAD">
              <w:rPr>
                <w:rFonts w:ascii="Calibri" w:hAnsi="Calibri" w:cs="Arial"/>
                <w:i/>
                <w:sz w:val="16"/>
                <w:szCs w:val="16"/>
              </w:rPr>
              <w:t>ECTS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2009"/>
            </w:tblGrid>
            <w:tr w:rsidR="000F4FD4" w:rsidRPr="00705AAD" w14:paraId="7F6F0BBE" w14:textId="77777777" w:rsidTr="00D661DA">
              <w:tc>
                <w:tcPr>
                  <w:tcW w:w="2926" w:type="dxa"/>
                  <w:shd w:val="clear" w:color="auto" w:fill="DDD9C3" w:themeFill="background2" w:themeFillShade="E6"/>
                  <w:vAlign w:val="center"/>
                </w:tcPr>
                <w:p w14:paraId="4F679498" w14:textId="77777777" w:rsidR="000F4FD4" w:rsidRPr="00705AAD" w:rsidRDefault="000F4FD4" w:rsidP="007673F3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 w:rsidRPr="00705AAD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009" w:type="dxa"/>
                  <w:shd w:val="clear" w:color="auto" w:fill="DDD9C3" w:themeFill="background2" w:themeFillShade="E6"/>
                  <w:vAlign w:val="center"/>
                </w:tcPr>
                <w:p w14:paraId="53BC7205" w14:textId="77777777" w:rsidR="000F4FD4" w:rsidRPr="00705AAD" w:rsidRDefault="000F4FD4" w:rsidP="007673F3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 w:rsidRPr="00705AAD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0F4FD4" w:rsidRPr="00705AAD" w14:paraId="55E32385" w14:textId="77777777" w:rsidTr="00D661DA">
              <w:tc>
                <w:tcPr>
                  <w:tcW w:w="2926" w:type="dxa"/>
                </w:tcPr>
                <w:p w14:paraId="622287BC" w14:textId="77777777" w:rsidR="000F4FD4" w:rsidRPr="003C0E3E" w:rsidRDefault="00661F3F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  <w:t>Διαλέξεις</w:t>
                  </w:r>
                </w:p>
              </w:tc>
              <w:tc>
                <w:tcPr>
                  <w:tcW w:w="2009" w:type="dxa"/>
                </w:tcPr>
                <w:p w14:paraId="61BE201F" w14:textId="77777777" w:rsidR="000F4FD4" w:rsidRPr="003C0E3E" w:rsidRDefault="009D2A7D" w:rsidP="007673F3">
                  <w:pPr>
                    <w:jc w:val="center"/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39</w:t>
                  </w:r>
                </w:p>
              </w:tc>
            </w:tr>
            <w:tr w:rsidR="000F4FD4" w:rsidRPr="00705AAD" w14:paraId="10EDA313" w14:textId="77777777" w:rsidTr="00D661DA">
              <w:tc>
                <w:tcPr>
                  <w:tcW w:w="2926" w:type="dxa"/>
                  <w:shd w:val="clear" w:color="auto" w:fill="auto"/>
                </w:tcPr>
                <w:p w14:paraId="05D6927E" w14:textId="77777777" w:rsidR="000F4FD4" w:rsidRPr="003C0E3E" w:rsidRDefault="00661F3F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  <w:t>Μελέτες περιπτώσεων</w:t>
                  </w:r>
                </w:p>
              </w:tc>
              <w:tc>
                <w:tcPr>
                  <w:tcW w:w="2009" w:type="dxa"/>
                </w:tcPr>
                <w:p w14:paraId="13BE91D7" w14:textId="77777777" w:rsidR="000F4FD4" w:rsidRPr="003C0E3E" w:rsidRDefault="00987A7E" w:rsidP="00987A7E">
                  <w:pPr>
                    <w:jc w:val="center"/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2</w:t>
                  </w:r>
                  <w:r w:rsidR="00661F3F" w:rsidRPr="003C0E3E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0</w:t>
                  </w:r>
                </w:p>
              </w:tc>
            </w:tr>
            <w:tr w:rsidR="000F4FD4" w:rsidRPr="00705AAD" w14:paraId="56907AE6" w14:textId="77777777" w:rsidTr="00D661DA">
              <w:tc>
                <w:tcPr>
                  <w:tcW w:w="2926" w:type="dxa"/>
                  <w:shd w:val="clear" w:color="auto" w:fill="auto"/>
                </w:tcPr>
                <w:p w14:paraId="0795CBB3" w14:textId="77777777" w:rsidR="000F4FD4" w:rsidRPr="003C0E3E" w:rsidRDefault="00D661DA" w:rsidP="00D661DA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  <w:t>Μικρές ατομικές εργασίες εξάσκησης</w:t>
                  </w:r>
                </w:p>
              </w:tc>
              <w:tc>
                <w:tcPr>
                  <w:tcW w:w="2009" w:type="dxa"/>
                </w:tcPr>
                <w:p w14:paraId="18B4438F" w14:textId="77777777" w:rsidR="000F4FD4" w:rsidRPr="003C0E3E" w:rsidRDefault="00661F3F" w:rsidP="00987A7E">
                  <w:pPr>
                    <w:jc w:val="center"/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2</w:t>
                  </w:r>
                  <w:r w:rsidR="00987A7E" w:rsidRPr="003C0E3E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1</w:t>
                  </w:r>
                </w:p>
              </w:tc>
            </w:tr>
            <w:tr w:rsidR="000F4FD4" w:rsidRPr="00705AAD" w14:paraId="2FC21492" w14:textId="77777777" w:rsidTr="00D661DA">
              <w:tc>
                <w:tcPr>
                  <w:tcW w:w="2926" w:type="dxa"/>
                  <w:shd w:val="clear" w:color="auto" w:fill="auto"/>
                </w:tcPr>
                <w:p w14:paraId="7FC79B00" w14:textId="77777777" w:rsidR="000F4FD4" w:rsidRPr="003C0E3E" w:rsidRDefault="009D2A7D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  <w:t>Αυτοτελής μελέτη</w:t>
                  </w:r>
                </w:p>
              </w:tc>
              <w:tc>
                <w:tcPr>
                  <w:tcW w:w="2009" w:type="dxa"/>
                </w:tcPr>
                <w:p w14:paraId="279239D9" w14:textId="77777777" w:rsidR="000F4FD4" w:rsidRPr="003C0E3E" w:rsidRDefault="009D2A7D" w:rsidP="007673F3">
                  <w:pPr>
                    <w:jc w:val="center"/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45</w:t>
                  </w:r>
                </w:p>
              </w:tc>
            </w:tr>
            <w:tr w:rsidR="000F4FD4" w:rsidRPr="00705AAD" w14:paraId="52ADC064" w14:textId="77777777" w:rsidTr="00D661DA">
              <w:tc>
                <w:tcPr>
                  <w:tcW w:w="2926" w:type="dxa"/>
                  <w:shd w:val="clear" w:color="auto" w:fill="auto"/>
                </w:tcPr>
                <w:p w14:paraId="439BFD9B" w14:textId="77777777" w:rsidR="000F4FD4" w:rsidRPr="003C0E3E" w:rsidRDefault="000F4FD4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009" w:type="dxa"/>
                </w:tcPr>
                <w:p w14:paraId="525CF19C" w14:textId="77777777" w:rsidR="000F4FD4" w:rsidRPr="003C0E3E" w:rsidRDefault="000F4FD4" w:rsidP="007673F3">
                  <w:pPr>
                    <w:jc w:val="center"/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4FD4" w:rsidRPr="00705AAD" w14:paraId="1317B60D" w14:textId="77777777" w:rsidTr="00D661DA">
              <w:tc>
                <w:tcPr>
                  <w:tcW w:w="2926" w:type="dxa"/>
                  <w:shd w:val="clear" w:color="auto" w:fill="auto"/>
                </w:tcPr>
                <w:p w14:paraId="6EBAAA8C" w14:textId="77777777" w:rsidR="000F4FD4" w:rsidRPr="003C0E3E" w:rsidRDefault="000F4FD4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0A2D9E1F" w14:textId="77777777" w:rsidR="000F4FD4" w:rsidRPr="003C0E3E" w:rsidRDefault="000F4FD4" w:rsidP="007673F3">
                  <w:pPr>
                    <w:rPr>
                      <w:rFonts w:ascii="Calibri" w:hAnsi="Calibri" w:cs="Arial"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4FD4" w:rsidRPr="00705AAD" w14:paraId="55DA45C5" w14:textId="77777777" w:rsidTr="00D661DA">
              <w:tc>
                <w:tcPr>
                  <w:tcW w:w="2926" w:type="dxa"/>
                  <w:shd w:val="clear" w:color="auto" w:fill="auto"/>
                </w:tcPr>
                <w:p w14:paraId="0FAFB956" w14:textId="77777777" w:rsidR="000F4FD4" w:rsidRPr="003C0E3E" w:rsidRDefault="000F4FD4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6365DCF3" w14:textId="77777777" w:rsidR="000F4FD4" w:rsidRPr="003C0E3E" w:rsidRDefault="000F4FD4" w:rsidP="007673F3">
                  <w:pPr>
                    <w:rPr>
                      <w:rFonts w:ascii="Calibri" w:hAnsi="Calibri" w:cs="Arial"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4FD4" w:rsidRPr="00705AAD" w14:paraId="42E826C9" w14:textId="77777777" w:rsidTr="00D661DA">
              <w:tc>
                <w:tcPr>
                  <w:tcW w:w="2926" w:type="dxa"/>
                  <w:shd w:val="clear" w:color="auto" w:fill="auto"/>
                </w:tcPr>
                <w:p w14:paraId="31B37B32" w14:textId="77777777" w:rsidR="000F4FD4" w:rsidRPr="003C0E3E" w:rsidRDefault="000F4FD4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4D8A04D4" w14:textId="77777777" w:rsidR="000F4FD4" w:rsidRPr="003C0E3E" w:rsidRDefault="000F4FD4" w:rsidP="007673F3">
                  <w:pPr>
                    <w:rPr>
                      <w:rFonts w:ascii="Calibri" w:hAnsi="Calibri" w:cs="Arial"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4FD4" w:rsidRPr="00705AAD" w14:paraId="2F3D07D1" w14:textId="77777777" w:rsidTr="00D661DA">
              <w:tc>
                <w:tcPr>
                  <w:tcW w:w="2926" w:type="dxa"/>
                  <w:shd w:val="clear" w:color="auto" w:fill="auto"/>
                </w:tcPr>
                <w:p w14:paraId="5F24CAD4" w14:textId="77777777" w:rsidR="000F4FD4" w:rsidRPr="003C0E3E" w:rsidRDefault="000F4FD4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009" w:type="dxa"/>
                </w:tcPr>
                <w:p w14:paraId="218610BE" w14:textId="77777777" w:rsidR="000F4FD4" w:rsidRPr="003C0E3E" w:rsidRDefault="000F4FD4" w:rsidP="007673F3">
                  <w:pPr>
                    <w:jc w:val="center"/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4FD4" w:rsidRPr="00705AAD" w14:paraId="772578B7" w14:textId="77777777" w:rsidTr="00D661DA">
              <w:tc>
                <w:tcPr>
                  <w:tcW w:w="2926" w:type="dxa"/>
                </w:tcPr>
                <w:p w14:paraId="536198A5" w14:textId="77777777" w:rsidR="000F4FD4" w:rsidRPr="003C0E3E" w:rsidRDefault="000F4FD4" w:rsidP="007673F3">
                  <w:pPr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  <w:t>Σύνολο</w:t>
                  </w: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  <w:lang w:val="el-GR"/>
                    </w:rPr>
                    <w:t>Μαθήματος</w:t>
                  </w:r>
                  <w:r w:rsidRPr="003C0E3E">
                    <w:rPr>
                      <w:rFonts w:ascii="Calibri" w:hAnsi="Calibri"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09" w:type="dxa"/>
                  <w:vAlign w:val="center"/>
                </w:tcPr>
                <w:p w14:paraId="6229C2DD" w14:textId="77777777" w:rsidR="000F4FD4" w:rsidRPr="003C0E3E" w:rsidRDefault="009D2A7D" w:rsidP="007673F3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  <w:r w:rsidRPr="003C0E3E">
                    <w:rPr>
                      <w:rFonts w:ascii="Calibri" w:hAnsi="Calibri" w:cs="Arial"/>
                      <w:b/>
                      <w:i/>
                      <w:color w:val="002060"/>
                      <w:sz w:val="22"/>
                      <w:szCs w:val="22"/>
                      <w:lang w:val="el-GR"/>
                    </w:rPr>
                    <w:t>125</w:t>
                  </w:r>
                </w:p>
              </w:tc>
            </w:tr>
          </w:tbl>
          <w:p w14:paraId="7394FBEA" w14:textId="77777777" w:rsidR="000F4FD4" w:rsidRPr="00705AAD" w:rsidRDefault="000F4FD4" w:rsidP="007673F3">
            <w:pPr>
              <w:rPr>
                <w:rFonts w:ascii="Tahoma" w:hAnsi="Tahoma" w:cs="Tahoma"/>
              </w:rPr>
            </w:pPr>
          </w:p>
        </w:tc>
      </w:tr>
      <w:tr w:rsidR="000F4FD4" w:rsidRPr="008A2E85" w14:paraId="0FC52F30" w14:textId="77777777" w:rsidTr="003C0E3E">
        <w:tc>
          <w:tcPr>
            <w:tcW w:w="3306" w:type="dxa"/>
          </w:tcPr>
          <w:p w14:paraId="1DB2C7E3" w14:textId="77777777" w:rsidR="000F4FD4" w:rsidRPr="00705AAD" w:rsidRDefault="000F4FD4" w:rsidP="007673F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14:paraId="6EAB16F2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Περιγραφή της διαδικασίας αξιολόγησης</w:t>
            </w:r>
          </w:p>
          <w:p w14:paraId="349C26B2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  <w:p w14:paraId="658539FA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Γλώσσα Αξιολόγησης, Μέθοδοι αξιολόγησης, Διαμορφωτική  ή Συμπερασματική, Δοκιμασία Πολλαπλής Επιλογής, Ερωτήσεις Σύντομης Απάντησης, Ερωτήσεις Ανάπτυξης Δοκιμίων, Επίλυση Προβλημάτων, Γραπτή Εργασία, Έκθεση / Αναφορά, Προφορική Εξέταση, Δημόσια Παρουσίαση, Εργαστηριακή Εργασία, Κλινική Εξέταση Ασθενούς, Καλλιτεχνική Ερμηνεία, Άλλη / Άλλες</w:t>
            </w:r>
          </w:p>
          <w:p w14:paraId="430E1851" w14:textId="77777777" w:rsidR="000F4FD4" w:rsidRPr="00705AAD" w:rsidRDefault="000F4FD4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  <w:p w14:paraId="0EC7B5DE" w14:textId="77777777" w:rsidR="000F4FD4" w:rsidRPr="00705AAD" w:rsidRDefault="001A1C52" w:rsidP="007673F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Αναφέρονται </w:t>
            </w:r>
            <w:r w:rsidR="000F4FD4"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ρητά προσδιορισμένα κριτήρια αξιολόγησης και εάν και που είναι προσβάσιμα από τους φοιτητές.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1E98C258" w14:textId="77777777" w:rsidR="009D2A7D" w:rsidRDefault="009D2A7D" w:rsidP="009D2A7D">
            <w:pPr>
              <w:rPr>
                <w:iCs/>
                <w:color w:val="002060"/>
                <w:lang w:val="el-GR"/>
              </w:rPr>
            </w:pPr>
          </w:p>
          <w:p w14:paraId="65646263" w14:textId="77777777" w:rsidR="009D2A7D" w:rsidRPr="003C0E3E" w:rsidRDefault="009D2A7D" w:rsidP="009D2A7D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3C0E3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Αξιολόγηση στην ελληνική γλώσσα.</w:t>
            </w:r>
          </w:p>
          <w:p w14:paraId="571F678D" w14:textId="77777777" w:rsidR="006408F4" w:rsidRPr="003C0E3E" w:rsidRDefault="006408F4" w:rsidP="007673F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  <w:p w14:paraId="6AD4622A" w14:textId="77777777" w:rsidR="000F4FD4" w:rsidRPr="003C0E3E" w:rsidRDefault="000F4FD4" w:rsidP="007673F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  <w:p w14:paraId="70C6CC35" w14:textId="4FC9302D" w:rsidR="006408F4" w:rsidRPr="00157050" w:rsidRDefault="006408F4" w:rsidP="00FA66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2060"/>
              </w:rPr>
            </w:pPr>
            <w:r w:rsidRPr="00157050">
              <w:rPr>
                <w:rFonts w:asciiTheme="minorHAnsi" w:hAnsiTheme="minorHAnsi" w:cstheme="minorHAnsi"/>
                <w:color w:val="002060"/>
                <w:spacing w:val="-3"/>
              </w:rPr>
              <w:t>Γραπτή εργασία</w:t>
            </w:r>
            <w:r w:rsidRPr="00157050">
              <w:rPr>
                <w:rFonts w:asciiTheme="minorHAnsi" w:hAnsiTheme="minorHAnsi" w:cstheme="minorHAnsi"/>
                <w:color w:val="002060"/>
                <w:lang w:val="en-US"/>
              </w:rPr>
              <w:t>:</w:t>
            </w:r>
            <w:r w:rsidR="005367D1" w:rsidRPr="00157050">
              <w:rPr>
                <w:rFonts w:asciiTheme="minorHAnsi" w:hAnsiTheme="minorHAnsi" w:cstheme="minorHAnsi"/>
                <w:color w:val="002060"/>
                <w:lang w:val="en-US"/>
              </w:rPr>
              <w:t xml:space="preserve">     </w:t>
            </w:r>
            <w:r w:rsidRPr="00157050">
              <w:rPr>
                <w:rFonts w:asciiTheme="minorHAnsi" w:hAnsiTheme="minorHAnsi" w:cstheme="minorHAnsi"/>
                <w:color w:val="002060"/>
                <w:lang w:val="en-US"/>
              </w:rPr>
              <w:t xml:space="preserve"> %</w:t>
            </w:r>
          </w:p>
          <w:p w14:paraId="1594FD46" w14:textId="49670BC1" w:rsidR="000F4FD4" w:rsidRPr="006408F4" w:rsidRDefault="006408F4" w:rsidP="00FA66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57050">
              <w:rPr>
                <w:rFonts w:asciiTheme="minorHAnsi" w:hAnsiTheme="minorHAnsi" w:cstheme="minorHAnsi"/>
                <w:color w:val="002060"/>
                <w:highlight w:val="yellow"/>
              </w:rPr>
              <w:t>Γραπτές εξετάσεις</w:t>
            </w:r>
            <w:r w:rsidRPr="00157050">
              <w:rPr>
                <w:rFonts w:asciiTheme="minorHAnsi" w:hAnsiTheme="minorHAnsi" w:cstheme="minorHAnsi"/>
                <w:color w:val="002060"/>
                <w:highlight w:val="yellow"/>
                <w:lang w:val="en-US"/>
              </w:rPr>
              <w:t xml:space="preserve">: </w:t>
            </w:r>
            <w:r w:rsidR="00157050">
              <w:rPr>
                <w:rFonts w:asciiTheme="minorHAnsi" w:hAnsiTheme="minorHAnsi" w:cstheme="minorHAnsi"/>
                <w:color w:val="002060"/>
                <w:highlight w:val="yellow"/>
                <w:lang w:val="en-US"/>
              </w:rPr>
              <w:t>100</w:t>
            </w:r>
            <w:r w:rsidRPr="00157050">
              <w:rPr>
                <w:rFonts w:asciiTheme="minorHAnsi" w:hAnsiTheme="minorHAnsi" w:cstheme="minorHAnsi"/>
                <w:color w:val="002060"/>
                <w:highlight w:val="yellow"/>
                <w:lang w:val="en-US"/>
              </w:rPr>
              <w:t>%</w:t>
            </w:r>
          </w:p>
        </w:tc>
      </w:tr>
    </w:tbl>
    <w:p w14:paraId="1AB0063A" w14:textId="77777777" w:rsidR="000F4FD4" w:rsidRPr="00705AAD" w:rsidRDefault="000F4FD4" w:rsidP="00FA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 w:rsidRPr="00705AAD"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 w:rsidRPr="00705AAD"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F4FD4" w:rsidRPr="00705AAD" w14:paraId="73F95ED0" w14:textId="77777777" w:rsidTr="00DA7334">
        <w:tc>
          <w:tcPr>
            <w:tcW w:w="9498" w:type="dxa"/>
          </w:tcPr>
          <w:p w14:paraId="6DEBA4FA" w14:textId="77777777" w:rsidR="00DB11A3" w:rsidRDefault="00DB11A3" w:rsidP="006E6E43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0424F6B9" w14:textId="77777777" w:rsidR="001A1C52" w:rsidRDefault="00A8723B" w:rsidP="006E6E43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0F4FD4" w:rsidRPr="00A8723B">
              <w:rPr>
                <w:rFonts w:cs="Arial"/>
                <w:i/>
                <w:sz w:val="16"/>
                <w:szCs w:val="16"/>
              </w:rPr>
              <w:t>Προτεινόμενη Βιβλι</w:t>
            </w:r>
            <w:r w:rsidR="001A1C52" w:rsidRPr="00A8723B">
              <w:rPr>
                <w:rFonts w:cs="Arial"/>
                <w:i/>
                <w:sz w:val="16"/>
                <w:szCs w:val="16"/>
              </w:rPr>
              <w:t>ογραφία</w:t>
            </w:r>
            <w:r w:rsidR="000F4FD4" w:rsidRPr="00A8723B">
              <w:rPr>
                <w:rFonts w:cs="Arial"/>
                <w:i/>
                <w:sz w:val="16"/>
                <w:szCs w:val="16"/>
              </w:rPr>
              <w:t>:</w:t>
            </w:r>
          </w:p>
          <w:p w14:paraId="1919B9E7" w14:textId="2B59FC55" w:rsidR="00661F3F" w:rsidRPr="005367D1" w:rsidRDefault="00D661DA" w:rsidP="006E6E43">
            <w:pPr>
              <w:rPr>
                <w:rFonts w:asciiTheme="minorHAnsi" w:hAnsiTheme="minorHAnsi" w:cstheme="minorHAnsi"/>
                <w:b/>
                <w:bCs/>
                <w:color w:val="000099"/>
                <w:szCs w:val="28"/>
                <w:lang w:val="el-GR"/>
              </w:rPr>
            </w:pP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Goetsch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 xml:space="preserve">, 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D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>.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L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 xml:space="preserve">., 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and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 xml:space="preserve"> 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Davis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 xml:space="preserve">, 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S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>.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</w:rPr>
              <w:t>B</w:t>
            </w:r>
            <w:r w:rsidRPr="005367D1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 xml:space="preserve">. </w:t>
            </w:r>
            <w:r w:rsidRPr="009200E5">
              <w:rPr>
                <w:rFonts w:asciiTheme="minorHAnsi" w:hAnsiTheme="minorHAnsi" w:cstheme="minorHAnsi"/>
                <w:b/>
                <w:bCs/>
                <w:color w:val="000099"/>
                <w:szCs w:val="28"/>
                <w:highlight w:val="yellow"/>
                <w:lang w:val="el-GR"/>
              </w:rPr>
              <w:t xml:space="preserve">Διαχείριση Ποιότητας και Οργανωσιακή Αριστεία, Εκδόσεις Τζιόλα, </w:t>
            </w:r>
            <w:r w:rsidR="005367D1" w:rsidRPr="005367D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8"/>
                <w:highlight w:val="yellow"/>
                <w:lang w:val="el-GR"/>
              </w:rPr>
              <w:t>τελευταία έκδοση</w:t>
            </w:r>
          </w:p>
          <w:p w14:paraId="0AFD8A38" w14:textId="77777777" w:rsidR="00D661DA" w:rsidRDefault="00D661DA" w:rsidP="006E6E43">
            <w:pPr>
              <w:rPr>
                <w:lang w:val="el-GR"/>
              </w:rPr>
            </w:pPr>
          </w:p>
          <w:p w14:paraId="3BAC3BC5" w14:textId="77777777" w:rsidR="00D661DA" w:rsidRPr="00D661DA" w:rsidRDefault="00D661DA" w:rsidP="006E6E43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- Επιπλέον </w:t>
            </w:r>
            <w:r w:rsidRPr="00A8723B">
              <w:rPr>
                <w:rFonts w:cs="Arial"/>
                <w:i/>
                <w:sz w:val="16"/>
                <w:szCs w:val="16"/>
              </w:rPr>
              <w:t>Βιβλιογραφία:</w:t>
            </w:r>
          </w:p>
          <w:p w14:paraId="597DBB99" w14:textId="77777777" w:rsidR="00DA7334" w:rsidRPr="00987A7E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2060"/>
                <w:lang w:val="en-US"/>
              </w:rPr>
            </w:pPr>
            <w:r w:rsidRPr="00987A7E">
              <w:rPr>
                <w:color w:val="002060"/>
                <w:lang w:val="en-US"/>
              </w:rPr>
              <w:lastRenderedPageBreak/>
              <w:t xml:space="preserve">Besterfield, D.H. (2008), </w:t>
            </w:r>
            <w:r w:rsidRPr="00987A7E">
              <w:rPr>
                <w:i/>
                <w:color w:val="002060"/>
                <w:lang w:val="en-US"/>
              </w:rPr>
              <w:t>Quality Control</w:t>
            </w:r>
            <w:r w:rsidRPr="00987A7E">
              <w:rPr>
                <w:color w:val="002060"/>
                <w:lang w:val="en-US"/>
              </w:rPr>
              <w:t>, 8</w:t>
            </w:r>
            <w:r w:rsidRPr="00987A7E">
              <w:rPr>
                <w:color w:val="002060"/>
                <w:vertAlign w:val="superscript"/>
                <w:lang w:val="en-US"/>
              </w:rPr>
              <w:t>th</w:t>
            </w:r>
            <w:r w:rsidRPr="00987A7E">
              <w:rPr>
                <w:color w:val="002060"/>
                <w:lang w:val="en-US"/>
              </w:rPr>
              <w:t xml:space="preserve"> ed., New Jersey: Prentice Hall.</w:t>
            </w:r>
          </w:p>
          <w:p w14:paraId="4792BDEA" w14:textId="77777777" w:rsidR="00DA7334" w:rsidRPr="00987A7E" w:rsidRDefault="00DA7334" w:rsidP="00FA6650">
            <w:pPr>
              <w:numPr>
                <w:ilvl w:val="0"/>
                <w:numId w:val="4"/>
              </w:numPr>
              <w:rPr>
                <w:rFonts w:ascii="Calibri" w:hAnsi="Calibri"/>
                <w:color w:val="002060"/>
                <w:sz w:val="22"/>
                <w:szCs w:val="22"/>
              </w:rPr>
            </w:pPr>
            <w:r w:rsidRPr="00987A7E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Brue, G. (2006), </w:t>
            </w:r>
            <w:r w:rsidRPr="00987A7E">
              <w:rPr>
                <w:rFonts w:ascii="Calibri" w:hAnsi="Calibri"/>
                <w:i/>
                <w:iCs/>
                <w:color w:val="002060"/>
                <w:sz w:val="22"/>
                <w:szCs w:val="22"/>
                <w:lang w:val="en-GB"/>
              </w:rPr>
              <w:t xml:space="preserve">Six Sigma for Small Business, 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Entrepreneur Press. </w:t>
            </w:r>
          </w:p>
          <w:p w14:paraId="638C91F9" w14:textId="77777777" w:rsidR="00DA7334" w:rsidRPr="00987A7E" w:rsidRDefault="00DA7334" w:rsidP="00FA665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987A7E">
              <w:rPr>
                <w:rFonts w:ascii="Calibri" w:hAnsi="Calibri"/>
                <w:bCs/>
                <w:color w:val="002060"/>
                <w:sz w:val="22"/>
                <w:szCs w:val="22"/>
              </w:rPr>
              <w:t xml:space="preserve">Crosby, P. (1979), </w:t>
            </w:r>
            <w:r w:rsidRPr="00987A7E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>Quality is Free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>. New York: McGraw-Hill</w:t>
            </w:r>
          </w:p>
          <w:p w14:paraId="22C8E0BD" w14:textId="77777777" w:rsidR="00DA7334" w:rsidRPr="00987A7E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2060"/>
                <w:lang w:val="en-US"/>
              </w:rPr>
            </w:pPr>
            <w:r w:rsidRPr="00987A7E">
              <w:rPr>
                <w:color w:val="002060"/>
                <w:lang w:val="en-US"/>
              </w:rPr>
              <w:t>Defeo, J. (2010),</w:t>
            </w:r>
            <w:r w:rsidRPr="00987A7E">
              <w:rPr>
                <w:i/>
                <w:color w:val="002060"/>
                <w:lang w:val="en-US"/>
              </w:rPr>
              <w:t xml:space="preserve"> Juran's Quality Handbook: The Complete Guide to Performance Excellence, </w:t>
            </w:r>
            <w:r w:rsidRPr="00987A7E">
              <w:rPr>
                <w:color w:val="002060"/>
                <w:lang w:val="en-US"/>
              </w:rPr>
              <w:t>6</w:t>
            </w:r>
            <w:r w:rsidRPr="00987A7E">
              <w:rPr>
                <w:color w:val="002060"/>
                <w:vertAlign w:val="superscript"/>
                <w:lang w:val="en-US"/>
              </w:rPr>
              <w:t>th</w:t>
            </w:r>
            <w:r w:rsidRPr="00987A7E">
              <w:rPr>
                <w:color w:val="002060"/>
                <w:lang w:val="en-US"/>
              </w:rPr>
              <w:t xml:space="preserve"> ed., New York: McGraw-Hill Professional.</w:t>
            </w:r>
          </w:p>
          <w:p w14:paraId="0F627FFD" w14:textId="77777777" w:rsidR="00DA7334" w:rsidRPr="00DA7334" w:rsidRDefault="00DA7334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Deming, W. Ε. 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  <w:u w:val="words"/>
              </w:rPr>
              <w:t>Quality Productivity and Competitive Position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 Cambridge, 1982.</w:t>
            </w:r>
          </w:p>
          <w:p w14:paraId="50D4D1C5" w14:textId="77777777" w:rsidR="00DA7334" w:rsidRPr="00987A7E" w:rsidRDefault="00DA7334" w:rsidP="00FA6650">
            <w:pPr>
              <w:numPr>
                <w:ilvl w:val="0"/>
                <w:numId w:val="4"/>
              </w:numPr>
              <w:rPr>
                <w:rFonts w:ascii="Calibri" w:hAnsi="Calibri"/>
                <w:color w:val="002060"/>
                <w:sz w:val="22"/>
                <w:szCs w:val="22"/>
              </w:rPr>
            </w:pP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 xml:space="preserve">Evans, J.R. and Lindsay, W.M. (2010), </w:t>
            </w:r>
            <w:r w:rsidRPr="00987A7E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Managing for Quality and Performance Excellence 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>8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vertAlign w:val="superscript"/>
              </w:rPr>
              <w:t>th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 xml:space="preserve"> ed., </w:t>
            </w:r>
            <w:r w:rsidRPr="00987A7E">
              <w:rPr>
                <w:rFonts w:ascii="Calibri" w:eastAsia="Batang" w:hAnsi="Calibri"/>
                <w:color w:val="002060"/>
                <w:sz w:val="22"/>
                <w:szCs w:val="22"/>
                <w:lang w:val="en-GB" w:eastAsia="ko-KR"/>
              </w:rPr>
              <w:t>South-Western Cengage Learning</w:t>
            </w:r>
          </w:p>
          <w:p w14:paraId="0F8049A3" w14:textId="77777777" w:rsidR="00DA7334" w:rsidRPr="00987A7E" w:rsidRDefault="00DA7334" w:rsidP="00FA6650">
            <w:pPr>
              <w:numPr>
                <w:ilvl w:val="0"/>
                <w:numId w:val="4"/>
              </w:numPr>
              <w:rPr>
                <w:rFonts w:ascii="Calibri" w:hAnsi="Calibri"/>
                <w:color w:val="002060"/>
                <w:sz w:val="22"/>
                <w:szCs w:val="22"/>
              </w:rPr>
            </w:pP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 xml:space="preserve">Feigenbaum, A.V. (2012),  </w:t>
            </w:r>
            <w:r w:rsidRPr="00987A7E">
              <w:rPr>
                <w:rFonts w:ascii="Calibri" w:hAnsi="Calibri"/>
                <w:i/>
                <w:color w:val="002060"/>
                <w:sz w:val="22"/>
                <w:szCs w:val="22"/>
              </w:rPr>
              <w:t>Total Quality control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>, 4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vertAlign w:val="superscript"/>
              </w:rPr>
              <w:t>th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 xml:space="preserve"> ed., McGraw-Hill</w:t>
            </w:r>
          </w:p>
          <w:p w14:paraId="4795A83D" w14:textId="77777777" w:rsidR="00DA7334" w:rsidRPr="00987A7E" w:rsidRDefault="00DA7334" w:rsidP="00FA66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eastAsia="el-GR"/>
              </w:rPr>
            </w:pPr>
            <w:r w:rsidRPr="00987A7E">
              <w:rPr>
                <w:rFonts w:ascii="Calibri" w:hAnsi="Calibri" w:cs="Calibri"/>
                <w:color w:val="002060"/>
                <w:sz w:val="22"/>
                <w:szCs w:val="22"/>
                <w:lang w:eastAsia="el-GR"/>
              </w:rPr>
              <w:t xml:space="preserve">Foster, S. T. (2007), </w:t>
            </w:r>
            <w:r w:rsidRPr="00987A7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  <w:lang w:eastAsia="el-GR"/>
              </w:rPr>
              <w:t>Managing Quality: Integrating the Supply Chain</w:t>
            </w:r>
            <w:r w:rsidRPr="00987A7E">
              <w:rPr>
                <w:rFonts w:ascii="Calibri" w:hAnsi="Calibri" w:cs="Calibri"/>
                <w:color w:val="002060"/>
                <w:sz w:val="22"/>
                <w:szCs w:val="22"/>
                <w:lang w:eastAsia="el-GR"/>
              </w:rPr>
              <w:t>, 3rd ed. Upper Saddle River, NJ: Prentice Hall.</w:t>
            </w:r>
          </w:p>
          <w:p w14:paraId="53640493" w14:textId="77777777" w:rsidR="00DA7334" w:rsidRPr="00987A7E" w:rsidRDefault="00DA7334" w:rsidP="00FA665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987A7E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Goetsch, D. L. and Davis, S. B. (2009), </w:t>
            </w:r>
            <w:r w:rsidRPr="00987A7E">
              <w:rPr>
                <w:rFonts w:ascii="Calibri" w:hAnsi="Calibri"/>
                <w:i/>
                <w:iCs/>
                <w:color w:val="002060"/>
                <w:sz w:val="22"/>
                <w:szCs w:val="22"/>
                <w:lang w:val="en-GB"/>
              </w:rPr>
              <w:t>Quality Management for Organizational Excellence: Introduction to Total Quality</w:t>
            </w:r>
            <w:r w:rsidRPr="00987A7E">
              <w:rPr>
                <w:rFonts w:ascii="Calibri" w:hAnsi="Calibri"/>
                <w:iCs/>
                <w:color w:val="002060"/>
                <w:sz w:val="22"/>
                <w:szCs w:val="22"/>
                <w:lang w:val="en-GB"/>
              </w:rPr>
              <w:t xml:space="preserve">, 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6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vertAlign w:val="superscript"/>
                <w:lang w:val="en-GB"/>
              </w:rPr>
              <w:t>th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 ed., Prentice Hall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lang w:val="en-AU"/>
              </w:rPr>
              <w:t>, Upper Saddle River, New Jersey</w:t>
            </w:r>
            <w:r w:rsidRPr="00987A7E">
              <w:rPr>
                <w:rFonts w:ascii="Calibri" w:eastAsia="Calibri" w:hAnsi="Calibri"/>
                <w:color w:val="002060"/>
                <w:sz w:val="22"/>
                <w:szCs w:val="22"/>
                <w:lang w:val="en-AU" w:eastAsia="en-GB"/>
              </w:rPr>
              <w:t>.</w:t>
            </w:r>
          </w:p>
          <w:p w14:paraId="3F106221" w14:textId="77777777" w:rsidR="00DA7334" w:rsidRPr="00DA7334" w:rsidRDefault="00DA7334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Juran, J. M. 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  <w:u w:val="words"/>
              </w:rPr>
              <w:t>On Leadership for Quality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 Free Press, 1989.</w:t>
            </w:r>
          </w:p>
          <w:p w14:paraId="729166F3" w14:textId="77777777" w:rsidR="00DA7334" w:rsidRPr="00987A7E" w:rsidRDefault="00DA7334" w:rsidP="00FA66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eastAsia="el-GR"/>
              </w:rPr>
            </w:pPr>
            <w:r w:rsidRPr="00987A7E">
              <w:rPr>
                <w:rFonts w:ascii="Calibri" w:hAnsi="Calibri" w:cs="Calibri"/>
                <w:color w:val="002060"/>
                <w:sz w:val="22"/>
                <w:szCs w:val="22"/>
                <w:lang w:eastAsia="el-GR"/>
              </w:rPr>
              <w:t xml:space="preserve">Juran, J.M., and Godfrey, A.B. (1999), </w:t>
            </w:r>
            <w:r w:rsidRPr="00987A7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  <w:lang w:eastAsia="el-GR"/>
              </w:rPr>
              <w:t>Juran’s Quality Handbook</w:t>
            </w:r>
            <w:r w:rsidRPr="00987A7E">
              <w:rPr>
                <w:rFonts w:ascii="Calibri" w:hAnsi="Calibri" w:cs="Calibri"/>
                <w:color w:val="002060"/>
                <w:sz w:val="22"/>
                <w:szCs w:val="22"/>
                <w:lang w:eastAsia="el-GR"/>
              </w:rPr>
              <w:t>, 5th ed., New York: McGraw-Hill.</w:t>
            </w:r>
          </w:p>
          <w:p w14:paraId="4F2765BF" w14:textId="77777777" w:rsidR="00DA7334" w:rsidRPr="00987A7E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2060"/>
                <w:lang w:val="en-US"/>
              </w:rPr>
            </w:pPr>
            <w:r w:rsidRPr="00987A7E">
              <w:rPr>
                <w:color w:val="002060"/>
                <w:lang w:val="en-US"/>
              </w:rPr>
              <w:t xml:space="preserve">Montgomery, D.C. (2012), </w:t>
            </w:r>
            <w:r w:rsidRPr="00987A7E">
              <w:rPr>
                <w:i/>
                <w:color w:val="002060"/>
                <w:lang w:val="en-US"/>
              </w:rPr>
              <w:t>Statistical Quality Control</w:t>
            </w:r>
            <w:r w:rsidRPr="00987A7E">
              <w:rPr>
                <w:color w:val="002060"/>
                <w:lang w:val="en-US"/>
              </w:rPr>
              <w:t>, New York, Wiley.</w:t>
            </w:r>
          </w:p>
          <w:p w14:paraId="357738C3" w14:textId="77777777" w:rsidR="00DA7334" w:rsidRPr="00987A7E" w:rsidRDefault="00DA7334" w:rsidP="00FA665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 xml:space="preserve">Oakland, J.S. (2003), </w:t>
            </w:r>
            <w:r w:rsidRPr="00987A7E">
              <w:rPr>
                <w:rFonts w:ascii="Calibri" w:hAnsi="Calibri"/>
                <w:bCs/>
                <w:i/>
                <w:color w:val="002060"/>
                <w:sz w:val="22"/>
                <w:szCs w:val="22"/>
              </w:rPr>
              <w:t>TQM:Text with Cases</w:t>
            </w:r>
            <w:r w:rsidRPr="00987A7E">
              <w:rPr>
                <w:rFonts w:ascii="Calibri" w:hAnsi="Calibri"/>
                <w:bCs/>
                <w:color w:val="002060"/>
                <w:sz w:val="22"/>
                <w:szCs w:val="22"/>
              </w:rPr>
              <w:t xml:space="preserve">, 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>3</w:t>
            </w:r>
            <w:r w:rsidRPr="00987A7E">
              <w:rPr>
                <w:rFonts w:ascii="Calibri" w:hAnsi="Calibri"/>
                <w:color w:val="002060"/>
                <w:sz w:val="22"/>
                <w:szCs w:val="22"/>
                <w:vertAlign w:val="superscript"/>
              </w:rPr>
              <w:t>rd</w:t>
            </w:r>
            <w:r w:rsidRPr="00987A7E">
              <w:rPr>
                <w:rFonts w:ascii="Calibri" w:hAnsi="Calibri"/>
                <w:color w:val="002060"/>
                <w:sz w:val="22"/>
                <w:szCs w:val="22"/>
              </w:rPr>
              <w:t xml:space="preserve"> ed., Butterworth-Heinemann</w:t>
            </w:r>
          </w:p>
          <w:p w14:paraId="39C96BA7" w14:textId="77777777" w:rsidR="00DA7334" w:rsidRPr="00DA7334" w:rsidRDefault="00DA7334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Oekland, J. 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  <w:u w:val="words"/>
              </w:rPr>
              <w:t>Total Quality Management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 Butterworth</w:t>
            </w:r>
            <w:r w:rsidRPr="00DA73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/ </w:t>
            </w:r>
            <w:r w:rsidRPr="00987A7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Heinemann</w:t>
            </w:r>
            <w:r w:rsidRPr="00DA73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1993.</w:t>
            </w:r>
          </w:p>
          <w:p w14:paraId="7F33C533" w14:textId="77777777" w:rsidR="00DA7334" w:rsidRPr="00987A7E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2060"/>
                <w:lang w:val="en-US"/>
              </w:rPr>
            </w:pPr>
            <w:r w:rsidRPr="00987A7E">
              <w:rPr>
                <w:color w:val="002060"/>
                <w:lang w:val="en-US"/>
              </w:rPr>
              <w:t xml:space="preserve">Summers, D.C. (2009), </w:t>
            </w:r>
            <w:r w:rsidRPr="00987A7E">
              <w:rPr>
                <w:i/>
                <w:color w:val="002060"/>
                <w:lang w:val="en-US"/>
              </w:rPr>
              <w:t>Quality</w:t>
            </w:r>
            <w:r w:rsidRPr="00987A7E">
              <w:rPr>
                <w:color w:val="002060"/>
                <w:lang w:val="en-US"/>
              </w:rPr>
              <w:t>, 5</w:t>
            </w:r>
            <w:r w:rsidRPr="00987A7E">
              <w:rPr>
                <w:color w:val="002060"/>
                <w:vertAlign w:val="superscript"/>
                <w:lang w:val="en-US"/>
              </w:rPr>
              <w:t>th</w:t>
            </w:r>
            <w:r w:rsidRPr="00987A7E">
              <w:rPr>
                <w:color w:val="002060"/>
                <w:lang w:val="en-US"/>
              </w:rPr>
              <w:t xml:space="preserve"> ed.,</w:t>
            </w:r>
            <w:r w:rsidRPr="00987A7E">
              <w:rPr>
                <w:i/>
                <w:color w:val="002060"/>
                <w:lang w:val="en-US"/>
              </w:rPr>
              <w:t xml:space="preserve"> </w:t>
            </w:r>
            <w:r w:rsidRPr="00987A7E">
              <w:rPr>
                <w:color w:val="002060"/>
                <w:lang w:val="en-US"/>
              </w:rPr>
              <w:t>New Jersey: Prentice Hall.</w:t>
            </w:r>
          </w:p>
          <w:p w14:paraId="00212613" w14:textId="77777777" w:rsidR="00661F3F" w:rsidRPr="006E6E43" w:rsidRDefault="00661F3F" w:rsidP="006E6E43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  <w:p w14:paraId="12BE53CA" w14:textId="77777777" w:rsidR="00661F3F" w:rsidRPr="006E6E43" w:rsidRDefault="00661F3F" w:rsidP="006E6E43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  <w:p w14:paraId="2AA1184B" w14:textId="77777777" w:rsidR="00661F3F" w:rsidRPr="006E6E43" w:rsidRDefault="00661F3F" w:rsidP="006E6E43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  <w:p w14:paraId="012DC807" w14:textId="77777777" w:rsidR="000F4FD4" w:rsidRPr="00D661DA" w:rsidRDefault="00A8723B" w:rsidP="006E6E43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- </w:t>
            </w:r>
            <w:r w:rsidR="000F4FD4"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Συναφή επιστημονικά περιοδικά:</w:t>
            </w:r>
          </w:p>
          <w:p w14:paraId="545F64DF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Hietschold, N., Reinhardt, R., and Gurtner S. (2014). Measuring critical success factors of TQM implementation successfully: A systematic literature review,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International Journal of Production Researc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h, Vol. 52 No. 21, pp. 6254-6272</w:t>
            </w:r>
          </w:p>
          <w:p w14:paraId="6AAD9EEB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Horatiu, C.S., Balc, B., and Razvan, D.G. (2014). The existing barriers in implementing Total Quality Managemetn,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Annals of the University of Oradea, Economics Science Series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Vol. 23 No. 1, pp. 234-1240</w:t>
            </w:r>
          </w:p>
          <w:p w14:paraId="21B695DC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Jimenez-Jimenex, D., Martinez-Costa, M., Martinez-Lerente, A., and Dine, R.H.A. (2015). Total quality management performance in multinational companies,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TQM Journal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Vol. 27 No. 3, pp. 328-340</w:t>
            </w:r>
          </w:p>
          <w:p w14:paraId="749FCF64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Mark, N. (2014). A benchmark process for measuring consumer perceptions of total quality,.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International Journal of Market Research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Vol. 56 No. 2, pp. 149-166</w:t>
            </w:r>
          </w:p>
          <w:p w14:paraId="31E4318E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Mehran, E., and Mehran, S. (2013). Quality management and performance: An annoted review,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International Journal of Production Research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Vol. 51 No. 18, pp. 5625-5643</w:t>
            </w:r>
          </w:p>
          <w:p w14:paraId="1A4DE2BD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Paraschhivescu, A.O. (2014). Zero defects and Zero noncorformities,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Economy Transdisciplinarity Cognition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Vol. 17 No. 2, pp. 35-42</w:t>
            </w:r>
          </w:p>
          <w:p w14:paraId="39003172" w14:textId="77777777" w:rsidR="00DA7334" w:rsidRPr="004C4C3D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Psomas, E. and Jiju Antony, J. (2015). The effectiveness of the ISO quality management system and its influential critical factors in Greek manufacturing companies, 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International Journal of Production Research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”, Vol. 53 No. 7, pp. 2089</w:t>
            </w:r>
            <w:r w:rsidRPr="004C4C3D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-2099</w:t>
            </w:r>
          </w:p>
          <w:p w14:paraId="5775B283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Saud, A., and Faihan, M. (2014). Impact on quality culture of total quality management,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International Journal of Business &amp; Economic Development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Vol. 2 No. 3, pp. 5-48</w:t>
            </w:r>
          </w:p>
          <w:p w14:paraId="594E2C19" w14:textId="77777777" w:rsidR="00DA7334" w:rsidRPr="00DA7334" w:rsidRDefault="00DA7334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</w:pP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 xml:space="preserve">Scott, L., Timothy, A., and Tugrul, D. (2014). Exploring linkage of quality management to innovation, </w:t>
            </w:r>
            <w:r w:rsidRPr="00DA7334">
              <w:rPr>
                <w:rFonts w:asciiTheme="minorHAnsi" w:hAnsiTheme="minorHAnsi" w:cstheme="minorHAnsi"/>
                <w:i/>
                <w:color w:val="002060"/>
                <w:szCs w:val="20"/>
                <w:lang w:val="en-US"/>
              </w:rPr>
              <w:t>Total Quality Management &amp; Business Excellence</w:t>
            </w:r>
            <w:r w:rsidRPr="00DA7334">
              <w:rPr>
                <w:rFonts w:asciiTheme="minorHAnsi" w:hAnsiTheme="minorHAnsi" w:cstheme="minorHAnsi"/>
                <w:color w:val="002060"/>
                <w:szCs w:val="20"/>
                <w:lang w:val="en-US"/>
              </w:rPr>
              <w:t>, 2014, Vol. 25 No. 9/10,  pp. 126-1140</w:t>
            </w:r>
          </w:p>
          <w:p w14:paraId="26FE9320" w14:textId="77777777" w:rsidR="006408F4" w:rsidRPr="006408F4" w:rsidRDefault="006408F4" w:rsidP="006E6E4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F5EF683" w14:textId="77777777" w:rsidR="006E6E43" w:rsidRPr="006E6E43" w:rsidRDefault="006E6E43" w:rsidP="006E6E43">
            <w:pPr>
              <w:jc w:val="both"/>
              <w:rPr>
                <w:rFonts w:ascii="Calibri" w:hAnsi="Calibri" w:cs="Arial"/>
                <w:b/>
              </w:rPr>
            </w:pPr>
            <w:r w:rsidRPr="006E6E43">
              <w:rPr>
                <w:rFonts w:ascii="Calibri" w:hAnsi="Calibri" w:cs="Arial"/>
                <w:i/>
                <w:sz w:val="16"/>
                <w:szCs w:val="16"/>
              </w:rPr>
              <w:t xml:space="preserve">- 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Συναφή</w:t>
            </w:r>
            <w:r w:rsidRPr="006E6E4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επιστημονικ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ά</w:t>
            </w:r>
            <w:r w:rsidRPr="006E6E4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περιοδικά</w:t>
            </w:r>
            <w:r w:rsidRPr="006E6E4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14:paraId="4923C8CB" w14:textId="77777777" w:rsidR="006E6E43" w:rsidRPr="004C4C3D" w:rsidRDefault="006E6E43" w:rsidP="006E6E43">
            <w:pPr>
              <w:tabs>
                <w:tab w:val="left" w:pos="567"/>
                <w:tab w:val="left" w:pos="1316"/>
              </w:tabs>
              <w:jc w:val="both"/>
              <w:rPr>
                <w:rFonts w:ascii="Calibri" w:hAnsi="Calibri"/>
                <w:color w:val="002060"/>
                <w:spacing w:val="-3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Asian Journal on Quality</w:t>
            </w:r>
          </w:p>
          <w:p w14:paraId="7CDAFF57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Benchmarking: An International Journal</w:t>
            </w:r>
          </w:p>
          <w:p w14:paraId="7882A683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Environmental Management and Health</w:t>
            </w:r>
          </w:p>
          <w:p w14:paraId="473ADDCF" w14:textId="77777777" w:rsidR="006E6E43" w:rsidRPr="004C4C3D" w:rsidRDefault="006E6E43" w:rsidP="006E6E43">
            <w:pPr>
              <w:jc w:val="both"/>
              <w:rPr>
                <w:rStyle w:val="Emphasis"/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Internationa</w:t>
            </w:r>
            <w:r w:rsidR="00DA7334">
              <w:rPr>
                <w:rFonts w:ascii="Calibri" w:hAnsi="Calibri"/>
                <w:color w:val="002060"/>
                <w:sz w:val="22"/>
                <w:szCs w:val="22"/>
              </w:rPr>
              <w:t>l Journal for Q</w:t>
            </w:r>
            <w:r w:rsidRPr="00DA7334">
              <w:rPr>
                <w:rStyle w:val="Emphasis"/>
                <w:rFonts w:ascii="Calibri" w:hAnsi="Calibri"/>
                <w:i w:val="0"/>
                <w:color w:val="002060"/>
                <w:sz w:val="22"/>
                <w:szCs w:val="22"/>
              </w:rPr>
              <w:t>uality</w:t>
            </w: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 xml:space="preserve"> in Health Care</w:t>
            </w:r>
          </w:p>
          <w:p w14:paraId="385C2F88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International Journal of Applied Quality Management</w:t>
            </w:r>
          </w:p>
          <w:p w14:paraId="43984C5F" w14:textId="77777777" w:rsidR="006E6E43" w:rsidRPr="004C4C3D" w:rsidRDefault="006E6E43" w:rsidP="006E6E43">
            <w:pPr>
              <w:pStyle w:val="Heading1"/>
              <w:spacing w:before="0" w:after="0"/>
              <w:rPr>
                <w:rFonts w:ascii="Calibri" w:hAnsi="Calibri"/>
                <w:b w:val="0"/>
                <w:color w:val="002060"/>
                <w:sz w:val="22"/>
                <w:szCs w:val="22"/>
                <w:lang w:val="en"/>
              </w:rPr>
            </w:pPr>
            <w:r w:rsidRPr="004C4C3D">
              <w:rPr>
                <w:rFonts w:ascii="Calibri" w:hAnsi="Calibri"/>
                <w:b w:val="0"/>
                <w:color w:val="002060"/>
                <w:sz w:val="22"/>
                <w:szCs w:val="22"/>
                <w:lang w:val="en"/>
              </w:rPr>
              <w:t>International Journal of Health Care Quality Assurance</w:t>
            </w:r>
          </w:p>
          <w:p w14:paraId="44B6BBCB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International Journal of Lean Six Sigma</w:t>
            </w:r>
          </w:p>
          <w:p w14:paraId="314F2813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lastRenderedPageBreak/>
              <w:t>International Journal of Quality &amp; Reliability Management</w:t>
            </w:r>
          </w:p>
          <w:p w14:paraId="44C125C3" w14:textId="77777777" w:rsidR="006E6E43" w:rsidRPr="00CD5598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International Journal of Quality Science</w:t>
            </w:r>
          </w:p>
          <w:p w14:paraId="40D280E8" w14:textId="77777777" w:rsidR="006E6E43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Journal of Food Quality and Preference</w:t>
            </w:r>
          </w:p>
          <w:p w14:paraId="66A820AA" w14:textId="77777777" w:rsidR="006E6E43" w:rsidRPr="004C4C3D" w:rsidRDefault="00DA7334" w:rsidP="00DA7334">
            <w:pPr>
              <w:rPr>
                <w:rStyle w:val="Emphasis"/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Journal of Quality </w:t>
            </w:r>
            <w:r w:rsidR="006E6E43" w:rsidRPr="004C4C3D">
              <w:rPr>
                <w:rFonts w:ascii="Calibri" w:hAnsi="Calibri"/>
                <w:color w:val="002060"/>
                <w:sz w:val="22"/>
                <w:szCs w:val="22"/>
              </w:rPr>
              <w:t>Assurance in Hospitality &amp; Tourism</w:t>
            </w:r>
          </w:p>
          <w:p w14:paraId="5AFA1889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Journal of Quality in Maintenance Engineering</w:t>
            </w:r>
          </w:p>
          <w:p w14:paraId="478C267F" w14:textId="77777777" w:rsidR="006E6E43" w:rsidRPr="004C4C3D" w:rsidRDefault="006E6E43" w:rsidP="006E6E43">
            <w:pPr>
              <w:rPr>
                <w:rStyle w:val="Emphasis"/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Journal of Quality Management</w:t>
            </w:r>
          </w:p>
          <w:p w14:paraId="66ADB119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Management of Environmental Quality: An International Journal</w:t>
            </w:r>
          </w:p>
          <w:p w14:paraId="306FF98E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Managing Service Quality</w:t>
            </w:r>
          </w:p>
          <w:p w14:paraId="52C57E86" w14:textId="77777777" w:rsidR="006E6E43" w:rsidRPr="004C4C3D" w:rsidRDefault="006E6E43" w:rsidP="006E6E43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bCs/>
                <w:color w:val="002060"/>
                <w:sz w:val="22"/>
                <w:szCs w:val="22"/>
              </w:rPr>
              <w:t>Quality and Reliability Engineering International</w:t>
            </w:r>
          </w:p>
          <w:p w14:paraId="7D93AE85" w14:textId="77777777" w:rsidR="006E6E43" w:rsidRPr="004C4C3D" w:rsidRDefault="006E6E43" w:rsidP="006E6E43">
            <w:pPr>
              <w:rPr>
                <w:rStyle w:val="Emphasis"/>
                <w:rFonts w:ascii="Calibri" w:hAnsi="Calibri"/>
                <w:b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The Internationa</w:t>
            </w:r>
            <w:r w:rsidR="00DA7334">
              <w:rPr>
                <w:rFonts w:ascii="Calibri" w:hAnsi="Calibri"/>
                <w:color w:val="002060"/>
                <w:sz w:val="22"/>
                <w:szCs w:val="22"/>
              </w:rPr>
              <w:t xml:space="preserve">l Journal </w:t>
            </w: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 xml:space="preserve">of Health Care </w:t>
            </w:r>
            <w:r w:rsidRPr="004C4C3D">
              <w:rPr>
                <w:rStyle w:val="Emphasis"/>
                <w:rFonts w:ascii="Calibri" w:hAnsi="Calibri"/>
                <w:color w:val="002060"/>
                <w:sz w:val="22"/>
                <w:szCs w:val="22"/>
              </w:rPr>
              <w:t>Quality</w:t>
            </w:r>
          </w:p>
          <w:p w14:paraId="259B2E56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The TQM Journal</w:t>
            </w:r>
          </w:p>
          <w:p w14:paraId="4D4D6332" w14:textId="77777777" w:rsidR="006E6E43" w:rsidRPr="004C4C3D" w:rsidRDefault="006E6E43" w:rsidP="006E6E43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The TQM Magazine</w:t>
            </w:r>
          </w:p>
          <w:p w14:paraId="2CE359B8" w14:textId="77777777" w:rsidR="006E6E43" w:rsidRPr="004C4C3D" w:rsidRDefault="006E6E43" w:rsidP="006E6E43">
            <w:pPr>
              <w:jc w:val="both"/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</w:pP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Tota</w:t>
            </w:r>
            <w:r w:rsidR="00DA7334">
              <w:rPr>
                <w:rFonts w:ascii="Calibri" w:hAnsi="Calibri"/>
                <w:color w:val="002060"/>
                <w:sz w:val="22"/>
                <w:szCs w:val="22"/>
              </w:rPr>
              <w:t xml:space="preserve">l Quality </w:t>
            </w:r>
            <w:r w:rsidRPr="004C4C3D">
              <w:rPr>
                <w:rFonts w:ascii="Calibri" w:hAnsi="Calibri"/>
                <w:color w:val="002060"/>
                <w:sz w:val="22"/>
                <w:szCs w:val="22"/>
              </w:rPr>
              <w:t>Management &amp; Business Excellence</w:t>
            </w:r>
          </w:p>
          <w:p w14:paraId="28F5B88B" w14:textId="77777777" w:rsidR="006E6E43" w:rsidRPr="003C0E3E" w:rsidRDefault="006E6E43" w:rsidP="006E6E43">
            <w:pPr>
              <w:jc w:val="both"/>
              <w:rPr>
                <w:rFonts w:ascii="Calibri" w:eastAsia="Calibri" w:hAnsi="Calibri" w:cs="Arial"/>
                <w:color w:val="002060"/>
              </w:rPr>
            </w:pPr>
          </w:p>
          <w:p w14:paraId="75B57805" w14:textId="77777777" w:rsidR="000F4FD4" w:rsidRPr="003C0E3E" w:rsidRDefault="00E5204B" w:rsidP="006E6E43">
            <w:pPr>
              <w:jc w:val="both"/>
              <w:rPr>
                <w:rFonts w:ascii="Calibri" w:hAnsi="Calibri" w:cs="Arial"/>
                <w:b/>
              </w:rPr>
            </w:pPr>
            <w:r w:rsidRPr="003C0E3E">
              <w:rPr>
                <w:rFonts w:ascii="Calibri" w:hAnsi="Calibri" w:cs="Arial"/>
                <w:i/>
                <w:sz w:val="16"/>
                <w:szCs w:val="16"/>
              </w:rPr>
              <w:t xml:space="preserve">- 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Συναφή</w:t>
            </w:r>
            <w:r w:rsidRPr="003C0E3E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επιστημονικ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οί</w:t>
            </w:r>
            <w:r w:rsidRPr="003C0E3E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ιστότοποι</w:t>
            </w:r>
            <w:r w:rsidRPr="003C0E3E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14:paraId="4DCA5B9D" w14:textId="77777777" w:rsidR="006408F4" w:rsidRPr="004C4C3D" w:rsidRDefault="00A64C3F" w:rsidP="00FA6650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</w:tabs>
              <w:spacing w:after="0" w:line="240" w:lineRule="auto"/>
              <w:rPr>
                <w:rFonts w:asciiTheme="minorHAnsi" w:hAnsiTheme="minorHAnsi" w:cstheme="minorHAnsi"/>
                <w:color w:val="002060"/>
                <w:lang w:val="en-AU"/>
              </w:rPr>
            </w:pPr>
            <w:hyperlink r:id="rId7" w:history="1">
              <w:r w:rsidR="006408F4" w:rsidRPr="004C4C3D">
                <w:rPr>
                  <w:rFonts w:asciiTheme="minorHAnsi" w:hAnsiTheme="minorHAnsi" w:cstheme="minorHAnsi"/>
                  <w:color w:val="002060"/>
                  <w:u w:val="single"/>
                  <w:lang w:val="en-AU"/>
                </w:rPr>
                <w:t>www.asq.org</w:t>
              </w:r>
            </w:hyperlink>
            <w:r w:rsidR="006408F4" w:rsidRPr="004C4C3D">
              <w:rPr>
                <w:rFonts w:asciiTheme="minorHAnsi" w:hAnsiTheme="minorHAnsi" w:cstheme="minorHAnsi"/>
                <w:color w:val="002060"/>
                <w:lang w:val="en-AU"/>
              </w:rPr>
              <w:t xml:space="preserve"> </w:t>
            </w:r>
            <w:r w:rsidR="00450813">
              <w:rPr>
                <w:rFonts w:asciiTheme="minorHAnsi" w:hAnsiTheme="minorHAnsi" w:cstheme="minorHAnsi"/>
                <w:color w:val="002060"/>
                <w:lang w:val="en-AU"/>
              </w:rPr>
              <w:t xml:space="preserve">  (American Society for Quality</w:t>
            </w:r>
            <w:r w:rsidR="006408F4" w:rsidRPr="004C4C3D">
              <w:rPr>
                <w:rFonts w:asciiTheme="minorHAnsi" w:hAnsiTheme="minorHAnsi" w:cstheme="minorHAnsi"/>
                <w:color w:val="002060"/>
                <w:lang w:val="en-AU"/>
              </w:rPr>
              <w:t>)</w:t>
            </w:r>
          </w:p>
          <w:p w14:paraId="6729835A" w14:textId="77777777" w:rsidR="006408F4" w:rsidRPr="004C4C3D" w:rsidRDefault="006408F4" w:rsidP="00FA6650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</w:tabs>
              <w:spacing w:after="0" w:line="240" w:lineRule="auto"/>
              <w:rPr>
                <w:rFonts w:asciiTheme="minorHAnsi" w:hAnsiTheme="minorHAnsi" w:cstheme="minorHAnsi"/>
                <w:color w:val="002060"/>
                <w:lang w:val="en-AU"/>
              </w:rPr>
            </w:pPr>
            <w:r w:rsidRPr="004C4C3D">
              <w:rPr>
                <w:rFonts w:asciiTheme="minorHAnsi" w:hAnsiTheme="minorHAnsi" w:cstheme="minorHAnsi"/>
                <w:color w:val="002060"/>
                <w:u w:val="single"/>
                <w:lang w:val="en-AU"/>
              </w:rPr>
              <w:t xml:space="preserve">deming.org </w:t>
            </w:r>
            <w:r w:rsidRPr="004C4C3D">
              <w:rPr>
                <w:rFonts w:asciiTheme="minorHAnsi" w:hAnsiTheme="minorHAnsi" w:cstheme="minorHAnsi"/>
                <w:color w:val="002060"/>
                <w:lang w:val="en-AU"/>
              </w:rPr>
              <w:t xml:space="preserve">  (Deming Institute)</w:t>
            </w:r>
          </w:p>
          <w:p w14:paraId="3EA1146C" w14:textId="77777777" w:rsidR="006408F4" w:rsidRPr="004C4C3D" w:rsidRDefault="006408F4" w:rsidP="00FA6650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</w:tabs>
              <w:spacing w:after="0" w:line="240" w:lineRule="auto"/>
              <w:rPr>
                <w:rFonts w:asciiTheme="minorHAnsi" w:hAnsiTheme="minorHAnsi" w:cstheme="minorHAnsi"/>
                <w:color w:val="002060"/>
                <w:lang w:val="en-AU"/>
              </w:rPr>
            </w:pPr>
            <w:r w:rsidRPr="004C4C3D">
              <w:rPr>
                <w:rFonts w:asciiTheme="minorHAnsi" w:hAnsiTheme="minorHAnsi" w:cstheme="minorHAnsi"/>
                <w:color w:val="002060"/>
                <w:u w:val="single"/>
                <w:lang w:val="en-AU"/>
              </w:rPr>
              <w:t xml:space="preserve">efgm.org/pressrel/custsat.htm </w:t>
            </w:r>
            <w:r w:rsidR="00450813">
              <w:rPr>
                <w:rFonts w:asciiTheme="minorHAnsi" w:hAnsiTheme="minorHAnsi" w:cstheme="minorHAnsi"/>
                <w:color w:val="002060"/>
                <w:lang w:val="en-AU"/>
              </w:rPr>
              <w:t xml:space="preserve">  (European Foundation of QM</w:t>
            </w:r>
            <w:r w:rsidRPr="004C4C3D">
              <w:rPr>
                <w:rFonts w:asciiTheme="minorHAnsi" w:hAnsiTheme="minorHAnsi" w:cstheme="minorHAnsi"/>
                <w:color w:val="002060"/>
                <w:lang w:val="en-AU"/>
              </w:rPr>
              <w:t>)</w:t>
            </w:r>
          </w:p>
          <w:p w14:paraId="44994F52" w14:textId="77777777" w:rsidR="006408F4" w:rsidRPr="004C4C3D" w:rsidRDefault="00A64C3F" w:rsidP="00FA6650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</w:tabs>
              <w:spacing w:after="0" w:line="240" w:lineRule="auto"/>
              <w:rPr>
                <w:rFonts w:asciiTheme="minorHAnsi" w:hAnsiTheme="minorHAnsi" w:cstheme="minorHAnsi"/>
                <w:color w:val="002060"/>
                <w:lang w:val="en-AU"/>
              </w:rPr>
            </w:pPr>
            <w:hyperlink r:id="rId8" w:history="1">
              <w:r w:rsidR="006408F4" w:rsidRPr="004C4C3D">
                <w:rPr>
                  <w:rFonts w:asciiTheme="minorHAnsi" w:hAnsiTheme="minorHAnsi" w:cstheme="minorHAnsi"/>
                  <w:color w:val="002060"/>
                  <w:u w:val="single"/>
                  <w:lang w:val="en-AU"/>
                </w:rPr>
                <w:t>www.juse.org.jp</w:t>
              </w:r>
            </w:hyperlink>
            <w:r w:rsidR="006408F4" w:rsidRPr="004C4C3D">
              <w:rPr>
                <w:rFonts w:asciiTheme="minorHAnsi" w:hAnsiTheme="minorHAnsi" w:cstheme="minorHAnsi"/>
                <w:color w:val="002060"/>
                <w:lang w:val="en-AU"/>
              </w:rPr>
              <w:t xml:space="preserve"> (Japanese Union of Scientists and Engineers)</w:t>
            </w:r>
          </w:p>
          <w:p w14:paraId="4884DFB2" w14:textId="77777777" w:rsidR="006408F4" w:rsidRPr="004C4C3D" w:rsidRDefault="00A64C3F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lang w:val="en-AU"/>
              </w:rPr>
            </w:pPr>
            <w:hyperlink r:id="rId9" w:history="1">
              <w:r w:rsidR="006408F4" w:rsidRPr="004C4C3D">
                <w:rPr>
                  <w:rFonts w:asciiTheme="minorHAnsi" w:hAnsiTheme="minorHAnsi" w:cstheme="minorHAnsi"/>
                  <w:color w:val="002060"/>
                  <w:u w:val="single"/>
                  <w:lang w:val="en-AU"/>
                </w:rPr>
                <w:t>www.ncqa.org</w:t>
              </w:r>
            </w:hyperlink>
            <w:r w:rsidR="006408F4" w:rsidRPr="004C4C3D">
              <w:rPr>
                <w:rFonts w:asciiTheme="minorHAnsi" w:hAnsiTheme="minorHAnsi" w:cstheme="minorHAnsi"/>
                <w:color w:val="002060"/>
                <w:lang w:val="en-AU"/>
              </w:rPr>
              <w:t xml:space="preserve"> (National Committee for Quality Assurance)</w:t>
            </w:r>
          </w:p>
          <w:p w14:paraId="2C868083" w14:textId="77777777" w:rsidR="002F4CA9" w:rsidRPr="004C4C3D" w:rsidRDefault="00A64C3F" w:rsidP="00FA6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kern w:val="36"/>
                <w:lang w:val="en-US"/>
              </w:rPr>
            </w:pPr>
            <w:hyperlink r:id="rId10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lang w:val="en-US"/>
                </w:rPr>
                <w:t>https://deming.org/</w:t>
              </w:r>
            </w:hyperlink>
            <w:r w:rsidR="002F4CA9" w:rsidRPr="004C4C3D">
              <w:rPr>
                <w:rFonts w:asciiTheme="minorHAnsi" w:hAnsiTheme="minorHAnsi" w:cstheme="minorHAnsi"/>
                <w:color w:val="002060"/>
                <w:lang w:val="en-US"/>
              </w:rPr>
              <w:t xml:space="preserve"> (</w:t>
            </w:r>
            <w:r w:rsidR="002F4CA9" w:rsidRPr="004C4C3D">
              <w:rPr>
                <w:rFonts w:asciiTheme="minorHAnsi" w:hAnsiTheme="minorHAnsi" w:cstheme="minorHAnsi"/>
                <w:bCs/>
                <w:color w:val="002060"/>
                <w:kern w:val="36"/>
                <w:lang w:val="en-US"/>
              </w:rPr>
              <w:t>The W. Edwards Deming Institute®)</w:t>
            </w:r>
          </w:p>
          <w:p w14:paraId="3EFCFB0E" w14:textId="77777777" w:rsidR="002F4CA9" w:rsidRPr="004C4C3D" w:rsidRDefault="00A64C3F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hyperlink r:id="rId11" w:tooltip="Capability Maturity Model Integration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sz w:val="22"/>
                  <w:szCs w:val="22"/>
                </w:rPr>
                <w:t>Capability Maturity Model Integration</w:t>
              </w:r>
            </w:hyperlink>
            <w:r w:rsidR="002F4CA9" w:rsidRPr="004C4C3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CMMI</w:t>
            </w:r>
          </w:p>
          <w:p w14:paraId="0A381D48" w14:textId="77777777" w:rsidR="002F4CA9" w:rsidRPr="004C4C3D" w:rsidRDefault="00A64C3F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hyperlink r:id="rId12" w:tooltip="Lean manufacturing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sz w:val="22"/>
                  <w:szCs w:val="22"/>
                </w:rPr>
                <w:t>Lean manufacturing</w:t>
              </w:r>
            </w:hyperlink>
          </w:p>
          <w:p w14:paraId="25C81ACA" w14:textId="77777777" w:rsidR="002F4CA9" w:rsidRPr="004C4C3D" w:rsidRDefault="00A64C3F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hyperlink r:id="rId13" w:tooltip="List of national quality awards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sz w:val="22"/>
                  <w:szCs w:val="22"/>
                </w:rPr>
                <w:t>List of national quality awards</w:t>
              </w:r>
            </w:hyperlink>
          </w:p>
          <w:p w14:paraId="08B883BD" w14:textId="77777777" w:rsidR="002F4CA9" w:rsidRPr="004C4C3D" w:rsidRDefault="00A64C3F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hyperlink r:id="rId14" w:tooltip="Malcolm Baldrige National Quality Award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sz w:val="22"/>
                  <w:szCs w:val="22"/>
                </w:rPr>
                <w:t>Malcolm Baldrige National Quality Award</w:t>
              </w:r>
            </w:hyperlink>
          </w:p>
          <w:p w14:paraId="29A2A0A9" w14:textId="77777777" w:rsidR="002F4CA9" w:rsidRPr="004C4C3D" w:rsidRDefault="00A64C3F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hyperlink r:id="rId15" w:tooltip="People Capability Maturity Model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sz w:val="22"/>
                  <w:szCs w:val="22"/>
                </w:rPr>
                <w:t>People Capability Maturity Model</w:t>
              </w:r>
            </w:hyperlink>
          </w:p>
          <w:p w14:paraId="5EFA334F" w14:textId="77777777" w:rsidR="002F4CA9" w:rsidRPr="004C4C3D" w:rsidRDefault="00A64C3F" w:rsidP="00FA665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hyperlink r:id="rId16" w:tooltip="Zero Defects" w:history="1">
              <w:r w:rsidR="002F4CA9" w:rsidRPr="004C4C3D">
                <w:rPr>
                  <w:rStyle w:val="Hyperlink"/>
                  <w:rFonts w:asciiTheme="minorHAnsi" w:hAnsiTheme="minorHAnsi" w:cstheme="minorHAnsi"/>
                  <w:color w:val="002060"/>
                  <w:sz w:val="22"/>
                  <w:szCs w:val="22"/>
                </w:rPr>
                <w:t>Zero Defects</w:t>
              </w:r>
            </w:hyperlink>
          </w:p>
          <w:p w14:paraId="3F8F3537" w14:textId="77777777" w:rsidR="002F4CA9" w:rsidRPr="00987A7E" w:rsidRDefault="002F4CA9" w:rsidP="006E6E43">
            <w:pPr>
              <w:jc w:val="both"/>
              <w:rPr>
                <w:sz w:val="20"/>
                <w:szCs w:val="20"/>
                <w:lang w:val="el-GR"/>
              </w:rPr>
            </w:pPr>
          </w:p>
        </w:tc>
      </w:tr>
      <w:bookmarkEnd w:id="0"/>
    </w:tbl>
    <w:p w14:paraId="40B7379D" w14:textId="77777777" w:rsidR="000F4FD4" w:rsidRPr="005C664B" w:rsidRDefault="000F4FD4" w:rsidP="006E6E43">
      <w:pPr>
        <w:rPr>
          <w:rFonts w:ascii="Cambria" w:hAnsi="Cambria"/>
          <w:b/>
          <w:bCs/>
          <w:sz w:val="28"/>
        </w:rPr>
      </w:pPr>
    </w:p>
    <w:sectPr w:rsidR="000F4FD4" w:rsidRPr="005C664B" w:rsidSect="003C0E3E">
      <w:headerReference w:type="even" r:id="rId17"/>
      <w:pgSz w:w="11906" w:h="16838" w:code="9"/>
      <w:pgMar w:top="1560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81CD" w14:textId="77777777" w:rsidR="00A64C3F" w:rsidRDefault="00A64C3F">
      <w:r>
        <w:separator/>
      </w:r>
    </w:p>
  </w:endnote>
  <w:endnote w:type="continuationSeparator" w:id="0">
    <w:p w14:paraId="08AA76B0" w14:textId="77777777" w:rsidR="00A64C3F" w:rsidRDefault="00A6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A81F" w14:textId="77777777" w:rsidR="00A64C3F" w:rsidRDefault="00A64C3F">
      <w:r>
        <w:separator/>
      </w:r>
    </w:p>
  </w:footnote>
  <w:footnote w:type="continuationSeparator" w:id="0">
    <w:p w14:paraId="5C5B61C9" w14:textId="77777777" w:rsidR="00A64C3F" w:rsidRDefault="00A6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DF7" w14:textId="77777777" w:rsidR="00B16FAF" w:rsidRDefault="00B16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CE230" w14:textId="77777777" w:rsidR="00B16FAF" w:rsidRDefault="00B16F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25pt;height:11.25pt" o:bullet="t">
        <v:imagedata r:id="rId1" o:title="clip_image001"/>
      </v:shape>
    </w:pict>
  </w:numPicBullet>
  <w:abstractNum w:abstractNumId="0" w15:restartNumberingAfterBreak="0">
    <w:nsid w:val="11384C34"/>
    <w:multiLevelType w:val="hybridMultilevel"/>
    <w:tmpl w:val="56660256"/>
    <w:lvl w:ilvl="0" w:tplc="32DA31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95CC8"/>
    <w:multiLevelType w:val="multilevel"/>
    <w:tmpl w:val="4A90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520EE"/>
    <w:multiLevelType w:val="hybridMultilevel"/>
    <w:tmpl w:val="1E80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43C12"/>
    <w:multiLevelType w:val="hybridMultilevel"/>
    <w:tmpl w:val="83A852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D8B"/>
    <w:multiLevelType w:val="hybridMultilevel"/>
    <w:tmpl w:val="8C68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E508A"/>
    <w:multiLevelType w:val="hybridMultilevel"/>
    <w:tmpl w:val="12269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F0B3D"/>
    <w:multiLevelType w:val="hybridMultilevel"/>
    <w:tmpl w:val="61C2D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B0C2E"/>
    <w:multiLevelType w:val="hybridMultilevel"/>
    <w:tmpl w:val="56660256"/>
    <w:lvl w:ilvl="0" w:tplc="32DA31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7CA2"/>
    <w:multiLevelType w:val="hybridMultilevel"/>
    <w:tmpl w:val="3D54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D2568B6"/>
    <w:multiLevelType w:val="hybridMultilevel"/>
    <w:tmpl w:val="A570360C"/>
    <w:lvl w:ilvl="0" w:tplc="AEC095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364DD"/>
    <w:multiLevelType w:val="hybridMultilevel"/>
    <w:tmpl w:val="64C8C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656A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48DD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13E5"/>
    <w:rsid w:val="00155ADD"/>
    <w:rsid w:val="001563DC"/>
    <w:rsid w:val="001565BF"/>
    <w:rsid w:val="00157050"/>
    <w:rsid w:val="00157A9F"/>
    <w:rsid w:val="00161BCF"/>
    <w:rsid w:val="00161BFB"/>
    <w:rsid w:val="0016225C"/>
    <w:rsid w:val="00163C8C"/>
    <w:rsid w:val="00164080"/>
    <w:rsid w:val="0016772E"/>
    <w:rsid w:val="00167BF7"/>
    <w:rsid w:val="00171309"/>
    <w:rsid w:val="001718A1"/>
    <w:rsid w:val="00174CD5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13"/>
    <w:rsid w:val="001F4EE0"/>
    <w:rsid w:val="00205B36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26B48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9F0"/>
    <w:rsid w:val="00271BEE"/>
    <w:rsid w:val="00271F7D"/>
    <w:rsid w:val="00272884"/>
    <w:rsid w:val="0027626F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4CA9"/>
    <w:rsid w:val="002F54E0"/>
    <w:rsid w:val="002F56C4"/>
    <w:rsid w:val="002F6967"/>
    <w:rsid w:val="002F6E55"/>
    <w:rsid w:val="002F7260"/>
    <w:rsid w:val="003003AD"/>
    <w:rsid w:val="00300DEE"/>
    <w:rsid w:val="003015D6"/>
    <w:rsid w:val="00301B8A"/>
    <w:rsid w:val="00301D54"/>
    <w:rsid w:val="003026B6"/>
    <w:rsid w:val="00302C56"/>
    <w:rsid w:val="00303462"/>
    <w:rsid w:val="00305870"/>
    <w:rsid w:val="00305D37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0E3E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81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23AB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B7E77"/>
    <w:rsid w:val="004C0CD5"/>
    <w:rsid w:val="004C4C3D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858"/>
    <w:rsid w:val="004F6C27"/>
    <w:rsid w:val="004F6D2C"/>
    <w:rsid w:val="004F7794"/>
    <w:rsid w:val="00502E98"/>
    <w:rsid w:val="00504010"/>
    <w:rsid w:val="0050455A"/>
    <w:rsid w:val="00505DA5"/>
    <w:rsid w:val="005065C7"/>
    <w:rsid w:val="00510B88"/>
    <w:rsid w:val="00510FA5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7D1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87882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C664B"/>
    <w:rsid w:val="005D135D"/>
    <w:rsid w:val="005D1A9E"/>
    <w:rsid w:val="005D3260"/>
    <w:rsid w:val="005D3BD0"/>
    <w:rsid w:val="005D64AF"/>
    <w:rsid w:val="005E096A"/>
    <w:rsid w:val="005E3207"/>
    <w:rsid w:val="005E3C04"/>
    <w:rsid w:val="005E3E18"/>
    <w:rsid w:val="005E4CDD"/>
    <w:rsid w:val="005F1D7B"/>
    <w:rsid w:val="0060443B"/>
    <w:rsid w:val="00605ACD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36642"/>
    <w:rsid w:val="006408F4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24A"/>
    <w:rsid w:val="00661509"/>
    <w:rsid w:val="00661933"/>
    <w:rsid w:val="00661F3F"/>
    <w:rsid w:val="00662BBC"/>
    <w:rsid w:val="00663846"/>
    <w:rsid w:val="0066558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A0172"/>
    <w:rsid w:val="006A1698"/>
    <w:rsid w:val="006A6323"/>
    <w:rsid w:val="006A7193"/>
    <w:rsid w:val="006B0C77"/>
    <w:rsid w:val="006B1A7F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E6E43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673F3"/>
    <w:rsid w:val="00770579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41F8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054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7CA"/>
    <w:rsid w:val="007F1C55"/>
    <w:rsid w:val="007F217F"/>
    <w:rsid w:val="007F5893"/>
    <w:rsid w:val="007F58AA"/>
    <w:rsid w:val="0080065F"/>
    <w:rsid w:val="008027D9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2E85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0E5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87693"/>
    <w:rsid w:val="00987A7E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2A7D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64C3F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988"/>
    <w:rsid w:val="00B03B1E"/>
    <w:rsid w:val="00B04153"/>
    <w:rsid w:val="00B10D57"/>
    <w:rsid w:val="00B13106"/>
    <w:rsid w:val="00B1500E"/>
    <w:rsid w:val="00B160B7"/>
    <w:rsid w:val="00B16FAF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3946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3C99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5598"/>
    <w:rsid w:val="00CD720F"/>
    <w:rsid w:val="00CD7D32"/>
    <w:rsid w:val="00CE077F"/>
    <w:rsid w:val="00CE1486"/>
    <w:rsid w:val="00CE30F0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2D9C"/>
    <w:rsid w:val="00D145FA"/>
    <w:rsid w:val="00D1477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61DA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379E"/>
    <w:rsid w:val="00D85206"/>
    <w:rsid w:val="00D862D5"/>
    <w:rsid w:val="00D905F8"/>
    <w:rsid w:val="00D9383A"/>
    <w:rsid w:val="00D9642D"/>
    <w:rsid w:val="00D971F5"/>
    <w:rsid w:val="00D975D7"/>
    <w:rsid w:val="00D97CBE"/>
    <w:rsid w:val="00DA1833"/>
    <w:rsid w:val="00DA4CA5"/>
    <w:rsid w:val="00DA6763"/>
    <w:rsid w:val="00DA7334"/>
    <w:rsid w:val="00DA76A5"/>
    <w:rsid w:val="00DA7894"/>
    <w:rsid w:val="00DB03E4"/>
    <w:rsid w:val="00DB10CB"/>
    <w:rsid w:val="00DB11A3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4EFD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2C22"/>
    <w:rsid w:val="00E35504"/>
    <w:rsid w:val="00E4129E"/>
    <w:rsid w:val="00E438D6"/>
    <w:rsid w:val="00E44A6E"/>
    <w:rsid w:val="00E5204B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478C"/>
    <w:rsid w:val="00EC55CE"/>
    <w:rsid w:val="00EC65A8"/>
    <w:rsid w:val="00EC7BE4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3B25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A6650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482E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C6566"/>
  <w15:docId w15:val="{DB6405BA-6F76-40A2-BEC8-99819B1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locked/>
    <w:rsid w:val="00661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e.org.jp" TargetMode="External"/><Relationship Id="rId13" Type="http://schemas.openxmlformats.org/officeDocument/2006/relationships/hyperlink" Target="https://en.wikipedia.org/wiki/List_of_national_quality_awar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g.org" TargetMode="External"/><Relationship Id="rId12" Type="http://schemas.openxmlformats.org/officeDocument/2006/relationships/hyperlink" Target="https://en.wikipedia.org/wiki/Lean_manufactu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Zero_Defe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apability_Maturity_Model_Integr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People_Capability_Maturity_Model" TargetMode="External"/><Relationship Id="rId10" Type="http://schemas.openxmlformats.org/officeDocument/2006/relationships/hyperlink" Target="https://deming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ga.org" TargetMode="External"/><Relationship Id="rId14" Type="http://schemas.openxmlformats.org/officeDocument/2006/relationships/hyperlink" Target="https://en.wikipedia.org/wiki/Malcolm_Baldrige_National_Quality_Awar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Andreas Kakouris</cp:lastModifiedBy>
  <cp:revision>3</cp:revision>
  <cp:lastPrinted>2014-04-24T14:33:00Z</cp:lastPrinted>
  <dcterms:created xsi:type="dcterms:W3CDTF">2021-09-02T07:51:00Z</dcterms:created>
  <dcterms:modified xsi:type="dcterms:W3CDTF">2021-09-02T07:51:00Z</dcterms:modified>
</cp:coreProperties>
</file>